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宋体"/>
          <w:lang w:eastAsia="zh-CN"/>
        </w:rPr>
      </w:pPr>
      <w:r>
        <w:rPr>
          <w:rFonts w:hint="eastAsia" w:ascii="Times New Roman" w:hAnsi="Times New Roman"/>
        </w:rPr>
        <w:t xml:space="preserve">T/SLEA </w:t>
      </w:r>
      <w:r>
        <w:rPr>
          <w:rFonts w:hint="eastAsia" w:ascii="Times New Roman" w:hAnsi="Times New Roman"/>
          <w:lang w:val="en-US" w:eastAsia="zh-CN"/>
        </w:rPr>
        <w:t>0041.2</w:t>
      </w:r>
      <w:r>
        <w:rPr>
          <w:rFonts w:hint="eastAsia" w:ascii="Times New Roman" w:hAnsi="Times New Roman"/>
        </w:rPr>
        <w:t>-202</w:t>
      </w:r>
      <w:r>
        <w:rPr>
          <w:rFonts w:hint="eastAsia" w:ascii="Times New Roman" w:hAnsi="Times New Roman"/>
          <w:lang w:val="en-US" w:eastAsia="zh-CN"/>
        </w:rPr>
        <w:t>2</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24"/>
        <w:snapToGrid w:val="0"/>
        <w:spacing w:line="360" w:lineRule="auto"/>
        <w:rPr>
          <w:rFonts w:hint="eastAsia" w:ascii="宋体" w:hAnsi="宋体" w:eastAsia="宋体" w:cs="宋体"/>
          <w:sz w:val="34"/>
          <w:szCs w:val="34"/>
        </w:rPr>
      </w:pPr>
      <w:r>
        <w:rPr>
          <w:rFonts w:hint="eastAsia" w:ascii="宋体" w:hAnsi="宋体" w:eastAsia="宋体" w:cs="宋体"/>
          <w:sz w:val="34"/>
          <w:szCs w:val="34"/>
        </w:rPr>
        <w:t>实验室用水气配件技术规范</w:t>
      </w:r>
      <w:r>
        <w:rPr>
          <w:rFonts w:hint="eastAsia" w:ascii="宋体" w:hAnsi="宋体" w:eastAsia="宋体" w:cs="宋体"/>
          <w:sz w:val="34"/>
          <w:szCs w:val="34"/>
          <w:lang w:val="en-US" w:eastAsia="zh-CN"/>
        </w:rPr>
        <w:t xml:space="preserve"> </w:t>
      </w:r>
      <w:r>
        <w:rPr>
          <w:rFonts w:hint="eastAsia" w:ascii="宋体" w:hAnsi="宋体" w:eastAsia="宋体" w:cs="宋体"/>
          <w:sz w:val="34"/>
          <w:szCs w:val="34"/>
        </w:rPr>
        <w:t>第2部分：应急喷淋和洗眼设备</w:t>
      </w:r>
    </w:p>
    <w:p>
      <w:pPr>
        <w:pStyle w:val="24"/>
        <w:snapToGrid w:val="0"/>
        <w:spacing w:line="360" w:lineRule="auto"/>
        <w:rPr>
          <w:rFonts w:hint="eastAsia" w:ascii="宋体" w:hAnsi="宋体" w:eastAsia="宋体" w:cs="宋体"/>
          <w:sz w:val="40"/>
          <w:szCs w:val="40"/>
          <w:lang w:eastAsia="zh-CN"/>
        </w:rPr>
      </w:pPr>
    </w:p>
    <w:p>
      <w:pPr>
        <w:pStyle w:val="24"/>
        <w:snapToGrid w:val="0"/>
        <w:spacing w:line="360" w:lineRule="auto"/>
        <w:rPr>
          <w:rFonts w:hint="eastAsia" w:ascii="宋体" w:hAnsi="宋体" w:eastAsia="宋体" w:cs="宋体"/>
          <w:color w:val="auto"/>
          <w:sz w:val="34"/>
          <w:szCs w:val="34"/>
        </w:rPr>
      </w:pPr>
      <w:r>
        <w:rPr>
          <w:rFonts w:hint="eastAsia" w:ascii="宋体" w:hAnsi="宋体" w:eastAsia="宋体" w:cs="宋体"/>
          <w:sz w:val="34"/>
          <w:szCs w:val="34"/>
          <w:lang w:eastAsia="zh-CN"/>
        </w:rPr>
        <w:t>编制说明</w:t>
      </w:r>
    </w:p>
    <w:p>
      <w:pPr>
        <w:pStyle w:val="24"/>
        <w:snapToGri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（征求意见稿）</w:t>
      </w:r>
    </w:p>
    <w:p>
      <w:pPr>
        <w:tabs>
          <w:tab w:val="center" w:pos="4535"/>
        </w:tabs>
        <w:jc w:val="center"/>
        <w:rPr>
          <w:rFonts w:hint="eastAsia" w:ascii="宋体" w:hAnsi="宋体" w:eastAsia="宋体" w:cs="宋体"/>
          <w:color w:val="auto"/>
          <w:sz w:val="21"/>
          <w:szCs w:val="21"/>
        </w:rPr>
      </w:pPr>
    </w:p>
    <w:p>
      <w:pPr>
        <w:tabs>
          <w:tab w:val="center" w:pos="4535"/>
        </w:tabs>
        <w:jc w:val="center"/>
        <w:rPr>
          <w:rFonts w:hint="eastAsia" w:ascii="宋体" w:hAnsi="宋体" w:eastAsia="宋体" w:cs="宋体"/>
          <w:color w:val="auto"/>
          <w:sz w:val="21"/>
          <w:szCs w:val="21"/>
        </w:rPr>
      </w:pPr>
    </w:p>
    <w:p>
      <w:pPr>
        <w:tabs>
          <w:tab w:val="center" w:pos="4535"/>
        </w:tabs>
        <w:jc w:val="center"/>
        <w:rPr>
          <w:rFonts w:hint="eastAsia" w:ascii="宋体" w:hAnsi="宋体" w:eastAsia="宋体" w:cs="宋体"/>
          <w:color w:val="auto"/>
          <w:sz w:val="21"/>
          <w:szCs w:val="21"/>
        </w:rPr>
      </w:pPr>
    </w:p>
    <w:p>
      <w:pPr>
        <w:tabs>
          <w:tab w:val="center" w:pos="4535"/>
        </w:tabs>
        <w:jc w:val="center"/>
        <w:rPr>
          <w:rFonts w:hint="eastAsia" w:ascii="宋体" w:hAnsi="宋体" w:eastAsia="宋体" w:cs="宋体"/>
          <w:color w:val="auto"/>
          <w:sz w:val="21"/>
          <w:szCs w:val="21"/>
        </w:rPr>
      </w:pPr>
    </w:p>
    <w:p>
      <w:pPr>
        <w:tabs>
          <w:tab w:val="center" w:pos="4535"/>
        </w:tabs>
        <w:jc w:val="center"/>
        <w:rPr>
          <w:rFonts w:hint="eastAsia" w:ascii="宋体" w:hAnsi="宋体" w:eastAsia="宋体" w:cs="宋体"/>
          <w:color w:val="auto"/>
          <w:sz w:val="21"/>
          <w:szCs w:val="21"/>
        </w:rPr>
      </w:pPr>
    </w:p>
    <w:p>
      <w:pPr>
        <w:tabs>
          <w:tab w:val="center" w:pos="4535"/>
        </w:tabs>
        <w:jc w:val="center"/>
        <w:rPr>
          <w:rFonts w:hint="eastAsia" w:ascii="宋体" w:hAnsi="宋体" w:eastAsia="宋体" w:cs="宋体"/>
          <w:color w:val="auto"/>
          <w:sz w:val="21"/>
          <w:szCs w:val="21"/>
        </w:rPr>
      </w:pPr>
    </w:p>
    <w:p>
      <w:pPr>
        <w:tabs>
          <w:tab w:val="center" w:pos="4535"/>
        </w:tabs>
        <w:jc w:val="both"/>
        <w:rPr>
          <w:rFonts w:hint="eastAsia" w:ascii="宋体" w:hAnsi="宋体" w:eastAsia="宋体" w:cs="宋体"/>
          <w:color w:val="auto"/>
          <w:sz w:val="21"/>
          <w:szCs w:val="21"/>
        </w:rPr>
      </w:pPr>
    </w:p>
    <w:p>
      <w:pPr>
        <w:tabs>
          <w:tab w:val="center" w:pos="4535"/>
        </w:tabs>
        <w:jc w:val="center"/>
        <w:rPr>
          <w:rFonts w:hint="eastAsia" w:ascii="宋体" w:hAnsi="宋体" w:eastAsia="宋体" w:cs="宋体"/>
          <w:color w:val="auto"/>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完成单位：上海北友实验设备有限公司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哈弥顿实验室设备（上海）有限公司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上海台雄</w:t>
      </w:r>
      <w:r>
        <w:rPr>
          <w:rFonts w:hint="eastAsia" w:ascii="宋体" w:hAnsi="宋体" w:cs="宋体"/>
          <w:sz w:val="28"/>
          <w:szCs w:val="28"/>
          <w:lang w:val="en-US" w:eastAsia="zh-CN"/>
        </w:rPr>
        <w:t>科技发展集团</w:t>
      </w:r>
      <w:r>
        <w:rPr>
          <w:rFonts w:hint="eastAsia" w:ascii="宋体" w:hAnsi="宋体" w:cs="宋体"/>
          <w:sz w:val="28"/>
          <w:szCs w:val="28"/>
        </w:rPr>
        <w:t>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上海西斯贝尔工业科技有限公司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河北润旺达洁具制造有限公司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浙江科恩实验设备有限公司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lang w:val="en-US" w:eastAsia="zh-CN"/>
        </w:rPr>
        <w:t xml:space="preserve">            上海滔普实验室设备有限公司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rPr>
      </w:pPr>
    </w:p>
    <w:p>
      <w:pPr>
        <w:spacing w:line="360" w:lineRule="auto"/>
        <w:ind w:firstLine="2520" w:firstLineChars="900"/>
        <w:rPr>
          <w:rFonts w:hint="eastAsia" w:ascii="宋体" w:hAnsi="宋体" w:cs="宋体"/>
          <w:sz w:val="28"/>
          <w:szCs w:val="28"/>
        </w:rPr>
      </w:pPr>
      <w:r>
        <w:rPr>
          <w:rFonts w:hint="eastAsia" w:ascii="宋体" w:hAnsi="宋体" w:cs="宋体"/>
          <w:sz w:val="28"/>
          <w:szCs w:val="28"/>
        </w:rPr>
        <w:t>完成时间：202</w:t>
      </w:r>
      <w:r>
        <w:rPr>
          <w:rFonts w:hint="eastAsia" w:ascii="宋体" w:hAnsi="宋体" w:cs="宋体"/>
          <w:sz w:val="28"/>
          <w:szCs w:val="28"/>
          <w:lang w:val="en-US" w:eastAsia="zh-CN"/>
        </w:rPr>
        <w:t>2</w:t>
      </w:r>
      <w:r>
        <w:rPr>
          <w:rFonts w:hint="eastAsia" w:ascii="宋体" w:hAnsi="宋体" w:cs="宋体"/>
          <w:sz w:val="28"/>
          <w:szCs w:val="28"/>
        </w:rPr>
        <w:t>年</w:t>
      </w:r>
      <w:r>
        <w:rPr>
          <w:rFonts w:hint="eastAsia" w:ascii="宋体" w:hAnsi="宋体" w:cs="宋体"/>
          <w:sz w:val="28"/>
          <w:szCs w:val="28"/>
          <w:lang w:val="en-US" w:eastAsia="zh-CN"/>
        </w:rPr>
        <w:t>1</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月</w:t>
      </w:r>
    </w:p>
    <w:p>
      <w:pPr>
        <w:spacing w:line="360" w:lineRule="auto"/>
        <w:ind w:firstLine="2520" w:firstLineChars="900"/>
        <w:rPr>
          <w:rFonts w:hint="eastAsia" w:ascii="宋体" w:hAnsi="宋体" w:cs="宋体"/>
          <w:sz w:val="28"/>
          <w:szCs w:val="28"/>
        </w:rPr>
      </w:pPr>
    </w:p>
    <w:p>
      <w:pPr>
        <w:spacing w:line="360" w:lineRule="auto"/>
        <w:ind w:firstLine="2520" w:firstLineChars="900"/>
        <w:rPr>
          <w:rFonts w:hint="eastAsia" w:ascii="宋体" w:hAnsi="宋体" w:cs="宋体"/>
          <w:sz w:val="28"/>
          <w:szCs w:val="28"/>
        </w:rPr>
      </w:pP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bookmarkStart w:id="0" w:name="BZ"/>
      <w:r>
        <w:rPr>
          <w:rFonts w:hint="eastAsia" w:ascii="黑体" w:hAnsi="黑体" w:eastAsia="黑体" w:cs="黑体"/>
          <w:b w:val="0"/>
          <w:bCs w:val="0"/>
          <w:color w:val="auto"/>
          <w:sz w:val="24"/>
          <w:szCs w:val="24"/>
          <w:lang w:eastAsia="zh-CN"/>
        </w:rPr>
        <w:t>任务来源</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本标准来源于上海实验室装备协会，标准标号为T/SLEA </w:t>
      </w:r>
      <w:r>
        <w:rPr>
          <w:rFonts w:hint="eastAsia" w:ascii="宋体" w:hAnsi="宋体" w:eastAsia="宋体" w:cs="宋体"/>
          <w:color w:val="auto"/>
          <w:sz w:val="21"/>
          <w:szCs w:val="21"/>
          <w:lang w:val="en-US" w:eastAsia="zh-CN"/>
        </w:rPr>
        <w:t>0041.2</w:t>
      </w:r>
      <w:r>
        <w:rPr>
          <w:rFonts w:hint="eastAsia" w:ascii="宋体" w:hAnsi="宋体" w:eastAsia="宋体" w:cs="宋体"/>
          <w:color w:val="auto"/>
          <w:sz w:val="21"/>
          <w:szCs w:val="21"/>
        </w:rPr>
        <w:t>-202</w:t>
      </w:r>
      <w:r>
        <w:rPr>
          <w:rFonts w:hint="eastAsia" w:hAnsi="宋体" w:cs="宋体"/>
          <w:color w:val="auto"/>
          <w:sz w:val="21"/>
          <w:szCs w:val="21"/>
          <w:lang w:val="en-US" w:eastAsia="zh-CN"/>
        </w:rPr>
        <w:t>2</w:t>
      </w:r>
      <w:r>
        <w:rPr>
          <w:rFonts w:hint="eastAsia" w:ascii="宋体" w:hAnsi="宋体" w:eastAsia="宋体" w:cs="宋体"/>
          <w:color w:val="auto"/>
          <w:sz w:val="21"/>
          <w:szCs w:val="21"/>
        </w:rPr>
        <w:t>,本标准由上海实验室装备协会</w:t>
      </w:r>
      <w:r>
        <w:rPr>
          <w:rFonts w:hint="eastAsia" w:hAnsi="宋体" w:cs="宋体"/>
          <w:color w:val="auto"/>
          <w:sz w:val="21"/>
          <w:szCs w:val="21"/>
          <w:lang w:eastAsia="zh-CN"/>
        </w:rPr>
        <w:t>提出并归口</w:t>
      </w:r>
      <w:r>
        <w:rPr>
          <w:rFonts w:hint="eastAsia" w:ascii="宋体" w:hAnsi="宋体" w:eastAsia="宋体" w:cs="宋体"/>
          <w:color w:val="auto"/>
          <w:sz w:val="21"/>
          <w:szCs w:val="21"/>
        </w:rPr>
        <w:t>，由上海北友实验设备有限公司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哈弥顿实验室设备（上海）有限公司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上海台雄</w:t>
      </w:r>
      <w:r>
        <w:rPr>
          <w:rFonts w:hint="eastAsia" w:hAnsi="宋体" w:cs="宋体"/>
          <w:color w:val="auto"/>
          <w:sz w:val="21"/>
          <w:szCs w:val="21"/>
          <w:lang w:val="en-US" w:eastAsia="zh-CN"/>
        </w:rPr>
        <w:t>科技发展集团</w:t>
      </w:r>
      <w:r>
        <w:rPr>
          <w:rFonts w:hint="eastAsia" w:ascii="宋体" w:hAnsi="宋体" w:eastAsia="宋体" w:cs="宋体"/>
          <w:color w:val="auto"/>
          <w:sz w:val="21"/>
          <w:szCs w:val="21"/>
        </w:rPr>
        <w:t>有限公司、上海西斯贝尔工业科技有限公司、河北润旺达洁具制造有限公司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浙江科恩实验设备有限公司、</w:t>
      </w:r>
      <w:r>
        <w:rPr>
          <w:rFonts w:hint="eastAsia" w:ascii="宋体" w:hAnsi="宋体" w:eastAsia="宋体" w:cs="宋体"/>
          <w:color w:val="auto"/>
          <w:sz w:val="21"/>
          <w:szCs w:val="21"/>
          <w:lang w:val="en-US" w:eastAsia="zh-CN"/>
        </w:rPr>
        <w:t>上海滔普实验室设备有限公司</w:t>
      </w:r>
      <w:r>
        <w:rPr>
          <w:rFonts w:hint="eastAsia" w:ascii="宋体" w:hAnsi="宋体" w:eastAsia="宋体" w:cs="宋体"/>
          <w:color w:val="auto"/>
          <w:sz w:val="21"/>
          <w:szCs w:val="21"/>
        </w:rPr>
        <w:t>负责组成编制组进行起草</w:t>
      </w:r>
      <w:r>
        <w:rPr>
          <w:rFonts w:hint="eastAsia" w:hAnsi="宋体" w:cs="宋体"/>
          <w:color w:val="auto"/>
          <w:sz w:val="21"/>
          <w:szCs w:val="21"/>
          <w:lang w:eastAsia="zh-CN"/>
        </w:rPr>
        <w:t>。</w:t>
      </w:r>
      <w:r>
        <w:rPr>
          <w:rFonts w:hint="eastAsia" w:ascii="宋体" w:hAnsi="宋体" w:eastAsia="宋体" w:cs="宋体"/>
          <w:color w:val="auto"/>
          <w:sz w:val="21"/>
          <w:szCs w:val="21"/>
          <w:lang w:eastAsia="zh-CN"/>
        </w:rPr>
        <w:t>本标准由</w:t>
      </w:r>
      <w:r>
        <w:rPr>
          <w:rFonts w:hint="eastAsia" w:ascii="宋体" w:hAnsi="宋体" w:eastAsia="宋体" w:cs="宋体"/>
          <w:color w:val="auto"/>
          <w:sz w:val="21"/>
          <w:szCs w:val="21"/>
          <w:lang w:val="en-US" w:eastAsia="zh-CN"/>
        </w:rPr>
        <w:t>2021年7月份立项，标准编制至标准</w:t>
      </w:r>
      <w:r>
        <w:rPr>
          <w:rFonts w:hint="eastAsia" w:hAnsi="宋体" w:cs="宋体"/>
          <w:color w:val="auto"/>
          <w:sz w:val="21"/>
          <w:szCs w:val="21"/>
          <w:lang w:val="en-US" w:eastAsia="zh-CN"/>
        </w:rPr>
        <w:t>发布</w:t>
      </w:r>
      <w:r>
        <w:rPr>
          <w:rFonts w:hint="eastAsia" w:ascii="宋体" w:hAnsi="宋体" w:eastAsia="宋体" w:cs="宋体"/>
          <w:color w:val="auto"/>
          <w:sz w:val="21"/>
          <w:szCs w:val="21"/>
        </w:rPr>
        <w:t>时间为2021年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工作简况</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工作内容一般可分为成立编制组、确立编制原则、开展调研分析以及征求意见稿阶段、送审稿阶段、报批稿阶段等。</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（1）成立编制组</w:t>
      </w:r>
    </w:p>
    <w:p>
      <w:pPr>
        <w:pStyle w:val="22"/>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编制任务下达后，上海北友实验设备有限公司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哈弥顿实验室设备（上海）有限公司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上海台雄</w:t>
      </w:r>
      <w:r>
        <w:rPr>
          <w:rFonts w:hint="eastAsia" w:hAnsi="宋体" w:cs="宋体"/>
          <w:color w:val="auto"/>
          <w:sz w:val="21"/>
          <w:szCs w:val="21"/>
          <w:lang w:val="en-US" w:eastAsia="zh-CN"/>
        </w:rPr>
        <w:t>科技发展集团</w:t>
      </w:r>
      <w:r>
        <w:rPr>
          <w:rFonts w:hint="eastAsia" w:ascii="宋体" w:hAnsi="宋体" w:eastAsia="宋体" w:cs="宋体"/>
          <w:color w:val="auto"/>
          <w:sz w:val="21"/>
          <w:szCs w:val="21"/>
        </w:rPr>
        <w:t>有限公司、上海西斯贝尔工业科技有限公司、河北润旺达洁具制造有限公司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浙江科恩实验设备有限公司、</w:t>
      </w:r>
      <w:r>
        <w:rPr>
          <w:rFonts w:hint="eastAsia" w:ascii="宋体" w:hAnsi="宋体" w:eastAsia="宋体" w:cs="宋体"/>
          <w:color w:val="auto"/>
          <w:sz w:val="21"/>
          <w:szCs w:val="21"/>
          <w:lang w:val="en-US" w:eastAsia="zh-CN"/>
        </w:rPr>
        <w:t>上海滔普实验室设备有限公司</w:t>
      </w:r>
      <w:r>
        <w:rPr>
          <w:rFonts w:hint="eastAsia" w:ascii="宋体" w:hAnsi="宋体" w:eastAsia="宋体" w:cs="宋体"/>
          <w:color w:val="auto"/>
          <w:sz w:val="21"/>
          <w:szCs w:val="21"/>
          <w:lang w:eastAsia="zh-CN"/>
        </w:rPr>
        <w:t>七</w:t>
      </w:r>
      <w:r>
        <w:rPr>
          <w:rFonts w:hint="eastAsia" w:ascii="宋体" w:hAnsi="宋体" w:eastAsia="宋体" w:cs="宋体"/>
          <w:color w:val="auto"/>
          <w:sz w:val="21"/>
          <w:szCs w:val="21"/>
        </w:rPr>
        <w:t>家单位共同成立了编制组。编制组成员人员组成和分工见表</w:t>
      </w:r>
      <w:r>
        <w:rPr>
          <w:rFonts w:hint="eastAsia" w:hAnsi="宋体" w:cs="宋体"/>
          <w:color w:val="auto"/>
          <w:sz w:val="21"/>
          <w:szCs w:val="21"/>
          <w:lang w:val="en-US" w:eastAsia="zh-CN"/>
        </w:rPr>
        <w:t>1</w:t>
      </w:r>
      <w:r>
        <w:rPr>
          <w:rFonts w:hint="eastAsia" w:ascii="宋体" w:hAnsi="宋体" w:eastAsia="宋体" w:cs="宋体"/>
          <w:color w:val="auto"/>
          <w:sz w:val="21"/>
          <w:szCs w:val="21"/>
        </w:rPr>
        <w:t>。</w:t>
      </w:r>
    </w:p>
    <w:p>
      <w:pPr>
        <w:pStyle w:val="22"/>
        <w:spacing w:line="360" w:lineRule="auto"/>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表</w:t>
      </w:r>
      <w:r>
        <w:rPr>
          <w:rFonts w:hint="eastAsia" w:hAnsi="宋体" w:cs="宋体"/>
          <w:color w:val="auto"/>
          <w:sz w:val="21"/>
          <w:szCs w:val="21"/>
          <w:lang w:val="en-US" w:eastAsia="zh-CN"/>
        </w:rPr>
        <w:t>1</w:t>
      </w:r>
      <w:r>
        <w:rPr>
          <w:rFonts w:hint="eastAsia" w:ascii="宋体" w:hAnsi="宋体" w:eastAsia="宋体" w:cs="宋体"/>
          <w:color w:val="auto"/>
          <w:sz w:val="21"/>
          <w:szCs w:val="21"/>
        </w:rPr>
        <w:t xml:space="preserve"> 编制组</w:t>
      </w:r>
      <w:r>
        <w:rPr>
          <w:rFonts w:hint="eastAsia" w:hAnsi="宋体" w:cs="宋体"/>
          <w:color w:val="auto"/>
          <w:sz w:val="21"/>
          <w:szCs w:val="21"/>
          <w:lang w:eastAsia="zh-CN"/>
        </w:rPr>
        <w:t>成员及分工</w:t>
      </w:r>
    </w:p>
    <w:tbl>
      <w:tblPr>
        <w:tblStyle w:val="15"/>
        <w:tblW w:w="89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1"/>
        <w:gridCol w:w="825"/>
        <w:gridCol w:w="3187"/>
        <w:gridCol w:w="1375"/>
        <w:gridCol w:w="28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1" w:type="dxa"/>
            <w:vAlign w:val="center"/>
          </w:tcPr>
          <w:p>
            <w:pPr>
              <w:pStyle w:val="22"/>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825" w:type="dxa"/>
            <w:vAlign w:val="center"/>
          </w:tcPr>
          <w:p>
            <w:pPr>
              <w:pStyle w:val="22"/>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姓名</w:t>
            </w:r>
          </w:p>
        </w:tc>
        <w:tc>
          <w:tcPr>
            <w:tcW w:w="3187" w:type="dxa"/>
            <w:vAlign w:val="center"/>
          </w:tcPr>
          <w:p>
            <w:pPr>
              <w:pStyle w:val="22"/>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1375" w:type="dxa"/>
            <w:vAlign w:val="center"/>
          </w:tcPr>
          <w:p>
            <w:pPr>
              <w:pStyle w:val="22"/>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职务/职称</w:t>
            </w:r>
          </w:p>
        </w:tc>
        <w:tc>
          <w:tcPr>
            <w:tcW w:w="2864" w:type="dxa"/>
            <w:vAlign w:val="center"/>
          </w:tcPr>
          <w:p>
            <w:pPr>
              <w:pStyle w:val="22"/>
              <w:spacing w:line="360" w:lineRule="auto"/>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任务分工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82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毛毓麟</w:t>
            </w:r>
          </w:p>
        </w:tc>
        <w:tc>
          <w:tcPr>
            <w:tcW w:w="3187"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上海北友实验设备有限公司</w:t>
            </w:r>
          </w:p>
        </w:tc>
        <w:tc>
          <w:tcPr>
            <w:tcW w:w="137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总经理</w:t>
            </w:r>
          </w:p>
        </w:tc>
        <w:tc>
          <w:tcPr>
            <w:tcW w:w="2864"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w:t>
            </w:r>
          </w:p>
        </w:tc>
        <w:tc>
          <w:tcPr>
            <w:tcW w:w="82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张天雷</w:t>
            </w:r>
          </w:p>
        </w:tc>
        <w:tc>
          <w:tcPr>
            <w:tcW w:w="3187"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哈弥顿实验室设备（上海）有限公司</w:t>
            </w:r>
          </w:p>
        </w:tc>
        <w:tc>
          <w:tcPr>
            <w:tcW w:w="137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hAnsi="宋体" w:cs="宋体"/>
                <w:color w:val="auto"/>
                <w:sz w:val="18"/>
                <w:szCs w:val="18"/>
                <w:lang w:val="en-US" w:eastAsia="zh-CN"/>
              </w:rPr>
              <w:t>业务拓展总监</w:t>
            </w:r>
          </w:p>
        </w:tc>
        <w:tc>
          <w:tcPr>
            <w:tcW w:w="2864"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82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王冰</w:t>
            </w:r>
          </w:p>
        </w:tc>
        <w:tc>
          <w:tcPr>
            <w:tcW w:w="3187"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上海台雄</w:t>
            </w:r>
            <w:r>
              <w:rPr>
                <w:rFonts w:hint="eastAsia" w:hAnsi="宋体" w:cs="宋体"/>
                <w:color w:val="auto"/>
                <w:sz w:val="18"/>
                <w:szCs w:val="18"/>
                <w:lang w:val="en-US" w:eastAsia="zh-CN"/>
              </w:rPr>
              <w:t>科技发展集团</w:t>
            </w:r>
            <w:r>
              <w:rPr>
                <w:rFonts w:hint="eastAsia" w:ascii="宋体" w:hAnsi="宋体" w:eastAsia="宋体" w:cs="宋体"/>
                <w:color w:val="auto"/>
                <w:sz w:val="18"/>
                <w:szCs w:val="18"/>
                <w:lang w:val="en-US" w:eastAsia="zh-CN"/>
              </w:rPr>
              <w:t>有限公司</w:t>
            </w:r>
          </w:p>
        </w:tc>
        <w:tc>
          <w:tcPr>
            <w:tcW w:w="137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总经理</w:t>
            </w:r>
          </w:p>
        </w:tc>
        <w:tc>
          <w:tcPr>
            <w:tcW w:w="2864"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项目总体策划、标准内容审核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kern w:val="2"/>
                <w:sz w:val="18"/>
                <w:szCs w:val="18"/>
                <w:lang w:val="en-US" w:eastAsia="zh-CN" w:bidi="ar-SA"/>
              </w:rPr>
            </w:pPr>
            <w:r>
              <w:rPr>
                <w:rFonts w:hint="eastAsia" w:hAnsi="宋体" w:cs="宋体"/>
                <w:color w:val="auto"/>
                <w:sz w:val="18"/>
                <w:szCs w:val="18"/>
                <w:lang w:val="en-US" w:eastAsia="zh-CN"/>
              </w:rPr>
              <w:t>4</w:t>
            </w:r>
          </w:p>
        </w:tc>
        <w:tc>
          <w:tcPr>
            <w:tcW w:w="825" w:type="dxa"/>
            <w:vAlign w:val="center"/>
          </w:tcPr>
          <w:p>
            <w:pPr>
              <w:pStyle w:val="22"/>
              <w:spacing w:line="360" w:lineRule="auto"/>
              <w:ind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张传进</w:t>
            </w:r>
          </w:p>
        </w:tc>
        <w:tc>
          <w:tcPr>
            <w:tcW w:w="3187" w:type="dxa"/>
            <w:vAlign w:val="center"/>
          </w:tcPr>
          <w:p>
            <w:pPr>
              <w:pStyle w:val="22"/>
              <w:spacing w:line="360" w:lineRule="auto"/>
              <w:ind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上海西斯贝尔工业科技有限公司</w:t>
            </w:r>
          </w:p>
        </w:tc>
        <w:tc>
          <w:tcPr>
            <w:tcW w:w="1375" w:type="dxa"/>
            <w:vAlign w:val="center"/>
          </w:tcPr>
          <w:p>
            <w:pPr>
              <w:pStyle w:val="22"/>
              <w:spacing w:line="360" w:lineRule="auto"/>
              <w:ind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产品总监</w:t>
            </w:r>
          </w:p>
        </w:tc>
        <w:tc>
          <w:tcPr>
            <w:tcW w:w="2864" w:type="dxa"/>
            <w:vAlign w:val="center"/>
          </w:tcPr>
          <w:p>
            <w:pPr>
              <w:pStyle w:val="22"/>
              <w:spacing w:line="360" w:lineRule="auto"/>
              <w:ind w:firstLine="0" w:firstLineChars="0"/>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项目总体策划，</w:t>
            </w:r>
            <w:r>
              <w:rPr>
                <w:rFonts w:hint="eastAsia" w:hAnsi="宋体" w:cs="宋体"/>
                <w:color w:val="auto"/>
                <w:sz w:val="18"/>
                <w:szCs w:val="18"/>
                <w:lang w:eastAsia="zh-CN"/>
              </w:rPr>
              <w:t>标准预研学习，总结形成对标分析等相关文件，并编写</w:t>
            </w:r>
            <w:r>
              <w:rPr>
                <w:rFonts w:hint="eastAsia" w:ascii="宋体" w:hAnsi="宋体" w:eastAsia="宋体" w:cs="宋体"/>
                <w:color w:val="auto"/>
                <w:sz w:val="18"/>
                <w:szCs w:val="18"/>
              </w:rPr>
              <w:t>标准及编制说明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hAnsi="宋体" w:cs="宋体"/>
                <w:color w:val="auto"/>
                <w:sz w:val="18"/>
                <w:szCs w:val="18"/>
                <w:lang w:val="en-US" w:eastAsia="zh-CN"/>
              </w:rPr>
              <w:t>5</w:t>
            </w:r>
          </w:p>
        </w:tc>
        <w:tc>
          <w:tcPr>
            <w:tcW w:w="82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张达</w:t>
            </w:r>
          </w:p>
        </w:tc>
        <w:tc>
          <w:tcPr>
            <w:tcW w:w="3187"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河北润旺达洁具制造有限公司</w:t>
            </w:r>
          </w:p>
        </w:tc>
        <w:tc>
          <w:tcPr>
            <w:tcW w:w="137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总经理</w:t>
            </w:r>
          </w:p>
        </w:tc>
        <w:tc>
          <w:tcPr>
            <w:tcW w:w="2864"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标准内容</w:t>
            </w:r>
            <w:r>
              <w:rPr>
                <w:rFonts w:hint="eastAsia" w:hAnsi="宋体" w:cs="宋体"/>
                <w:color w:val="auto"/>
                <w:sz w:val="18"/>
                <w:szCs w:val="18"/>
                <w:lang w:val="en-US" w:eastAsia="zh-CN"/>
              </w:rPr>
              <w:t>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hAnsi="宋体" w:cs="宋体"/>
                <w:color w:val="auto"/>
                <w:sz w:val="18"/>
                <w:szCs w:val="18"/>
                <w:lang w:val="en-US" w:eastAsia="zh-CN"/>
              </w:rPr>
              <w:t>6</w:t>
            </w:r>
          </w:p>
        </w:tc>
        <w:tc>
          <w:tcPr>
            <w:tcW w:w="82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袁利军</w:t>
            </w:r>
          </w:p>
        </w:tc>
        <w:tc>
          <w:tcPr>
            <w:tcW w:w="3187"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浙江科恩实验设备有限公司</w:t>
            </w:r>
          </w:p>
        </w:tc>
        <w:tc>
          <w:tcPr>
            <w:tcW w:w="137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总经理</w:t>
            </w:r>
          </w:p>
        </w:tc>
        <w:tc>
          <w:tcPr>
            <w:tcW w:w="2864"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jc w:val="center"/>
        </w:trPr>
        <w:tc>
          <w:tcPr>
            <w:tcW w:w="651"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hAnsi="宋体" w:cs="宋体"/>
                <w:color w:val="auto"/>
                <w:sz w:val="18"/>
                <w:szCs w:val="18"/>
                <w:lang w:val="en-US" w:eastAsia="zh-CN"/>
              </w:rPr>
              <w:t>7</w:t>
            </w:r>
          </w:p>
        </w:tc>
        <w:tc>
          <w:tcPr>
            <w:tcW w:w="82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刘杰</w:t>
            </w:r>
          </w:p>
        </w:tc>
        <w:tc>
          <w:tcPr>
            <w:tcW w:w="3187"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上海滔普实验室设备有限公司</w:t>
            </w:r>
          </w:p>
        </w:tc>
        <w:tc>
          <w:tcPr>
            <w:tcW w:w="1375"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总经理</w:t>
            </w:r>
            <w:bookmarkStart w:id="20" w:name="_GoBack"/>
            <w:bookmarkEnd w:id="20"/>
          </w:p>
        </w:tc>
        <w:tc>
          <w:tcPr>
            <w:tcW w:w="2864" w:type="dxa"/>
            <w:vAlign w:val="center"/>
          </w:tcPr>
          <w:p>
            <w:pPr>
              <w:pStyle w:val="22"/>
              <w:spacing w:line="360" w:lineRule="auto"/>
              <w:ind w:left="0" w:leftChars="0"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标准框架指导、标准内容审核</w:t>
            </w:r>
          </w:p>
        </w:tc>
      </w:tr>
    </w:tbl>
    <w:p>
      <w:pPr>
        <w:pStyle w:val="22"/>
        <w:spacing w:line="360" w:lineRule="auto"/>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（2）确立编制原则</w:t>
      </w:r>
    </w:p>
    <w:p>
      <w:pPr>
        <w:pStyle w:val="22"/>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本标准的编制主要遵循以下原则：</w:t>
      </w:r>
    </w:p>
    <w:p>
      <w:pPr>
        <w:pStyle w:val="22"/>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标准的制定遵循了适用性、科学性和可操作性原则，标准工作组在实验、验证和生产实践的基础上制定标准指标，标准编写按照GB/T 1.1 等格式要求进行本标准的编写工作。</w:t>
      </w:r>
    </w:p>
    <w:p>
      <w:pPr>
        <w:pStyle w:val="22"/>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a)</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统一性原则：确保在专业领域内及相关领域之间术语的一致性和逻辑上的完整性。</w:t>
      </w:r>
    </w:p>
    <w:p>
      <w:pPr>
        <w:pStyle w:val="22"/>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b)</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简明性原则：信息交流过程中要求方法尽可能的简明，以提高效率。</w:t>
      </w:r>
    </w:p>
    <w:p>
      <w:pPr>
        <w:pStyle w:val="22"/>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c)</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准确性原则：方法的描述应能准确反映其解决问题的思路，同时又能借助区别特征同其它并列方法有效地区分开来。</w:t>
      </w:r>
    </w:p>
    <w:p>
      <w:pPr>
        <w:pStyle w:val="22"/>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d)</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稳定性原则：对于使用频率较高、范围较广，已经约定俗成的术语，没有重要原因，即使有不理想之处，也不宜轻易变更。</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（3）开展调研分析</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编制组开始收集国内外相关资料，针对我国现有的实验室用应急喷淋和洗眼设备生产制造水平的现状和问题以及客户的实际使用需求，同时查询了GB/T 38144.1-2019 《眼面部防护 应急喷淋和洗眼设备 第1部分：技术要求》和GB/T 38144.2-2019 《眼面部防护 应急喷淋和洗眼设备 第2部分：使用指南》两个国家标准和部分相关企业的企业标准，</w:t>
      </w:r>
      <w:r>
        <w:rPr>
          <w:rFonts w:hint="eastAsia" w:ascii="宋体" w:hAnsi="宋体" w:eastAsia="宋体" w:cs="宋体"/>
          <w:color w:val="auto"/>
          <w:sz w:val="21"/>
          <w:szCs w:val="21"/>
        </w:rPr>
        <w:t>从而提出了实验室用水气配件技术规范 第3部分：水槽标准的制定。</w:t>
      </w:r>
    </w:p>
    <w:p>
      <w:pPr>
        <w:pStyle w:val="22"/>
        <w:numPr>
          <w:ilvl w:val="0"/>
          <w:numId w:val="3"/>
        </w:numPr>
        <w:spacing w:line="360" w:lineRule="auto"/>
        <w:ind w:firstLineChars="0"/>
        <w:rPr>
          <w:rFonts w:hint="eastAsia" w:ascii="宋体" w:hAnsi="宋体" w:eastAsia="宋体" w:cs="宋体"/>
          <w:color w:val="auto"/>
          <w:sz w:val="21"/>
          <w:szCs w:val="21"/>
        </w:rPr>
      </w:pPr>
      <w:r>
        <w:rPr>
          <w:rFonts w:hint="eastAsia" w:ascii="宋体" w:hAnsi="宋体" w:eastAsia="宋体" w:cs="宋体"/>
          <w:color w:val="auto"/>
          <w:sz w:val="21"/>
          <w:szCs w:val="21"/>
        </w:rPr>
        <w:t>征求意见稿阶段</w:t>
      </w:r>
    </w:p>
    <w:p>
      <w:pPr>
        <w:pStyle w:val="22"/>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2021年1月</w:t>
      </w:r>
      <w:r>
        <w:rPr>
          <w:rFonts w:hint="eastAsia" w:ascii="宋体" w:hAnsi="宋体" w:eastAsia="宋体" w:cs="宋体"/>
          <w:color w:val="auto"/>
          <w:sz w:val="21"/>
          <w:szCs w:val="21"/>
          <w:lang w:val="en-US" w:eastAsia="zh-CN"/>
        </w:rPr>
        <w:t>16日</w:t>
      </w:r>
      <w:r>
        <w:rPr>
          <w:rFonts w:hint="eastAsia" w:ascii="宋体" w:hAnsi="宋体" w:eastAsia="宋体" w:cs="宋体"/>
          <w:color w:val="auto"/>
          <w:sz w:val="21"/>
          <w:szCs w:val="21"/>
        </w:rPr>
        <w:t>至2021年</w:t>
      </w:r>
      <w:r>
        <w:rPr>
          <w:rFonts w:hint="eastAsia" w:ascii="宋体" w:hAnsi="宋体" w:eastAsia="宋体" w:cs="宋体"/>
          <w:color w:val="auto"/>
          <w:sz w:val="21"/>
          <w:szCs w:val="21"/>
          <w:lang w:val="en-US" w:eastAsia="zh-CN"/>
        </w:rPr>
        <w:t>7月16日编制组预研学习国内外现有标准</w:t>
      </w:r>
      <w:r>
        <w:rPr>
          <w:rFonts w:hint="eastAsia" w:hAnsi="宋体" w:cs="宋体"/>
          <w:color w:val="auto"/>
          <w:sz w:val="21"/>
          <w:szCs w:val="21"/>
          <w:lang w:val="en-US" w:eastAsia="zh-CN"/>
        </w:rPr>
        <w:t>，并形成对标分析及标准大纲及标准草案内容等</w:t>
      </w:r>
      <w:r>
        <w:rPr>
          <w:rFonts w:hint="eastAsia" w:ascii="宋体" w:hAnsi="宋体" w:eastAsia="宋体" w:cs="宋体"/>
          <w:color w:val="auto"/>
          <w:sz w:val="21"/>
          <w:szCs w:val="21"/>
          <w:lang w:val="en-US" w:eastAsia="zh-CN"/>
        </w:rPr>
        <w:t>；</w:t>
      </w:r>
    </w:p>
    <w:p>
      <w:pPr>
        <w:pStyle w:val="22"/>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2021年7月17日立项；</w:t>
      </w:r>
    </w:p>
    <w:p>
      <w:pPr>
        <w:pStyle w:val="22"/>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2021年7月17日至2022年1月20日完成标准编制，形成标准征求意见稿；</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2022年1月21日至2022年3月8日公开发布征求意见稿，广泛征求意见。</w:t>
      </w:r>
    </w:p>
    <w:p>
      <w:pPr>
        <w:pStyle w:val="22"/>
        <w:spacing w:line="360" w:lineRule="auto"/>
        <w:rPr>
          <w:rFonts w:hint="eastAsia" w:ascii="宋体" w:hAnsi="宋体" w:eastAsia="宋体" w:cs="宋体"/>
          <w:color w:val="auto"/>
          <w:sz w:val="21"/>
          <w:szCs w:val="21"/>
        </w:rPr>
      </w:pPr>
      <w:r>
        <w:rPr>
          <w:rFonts w:hint="eastAsia" w:hAnsi="宋体" w:cs="宋体"/>
          <w:color w:val="auto"/>
          <w:sz w:val="21"/>
          <w:szCs w:val="21"/>
          <w:lang w:eastAsia="zh-CN"/>
        </w:rPr>
        <w:t>编制组在预研和编制阶段，充分学习</w:t>
      </w:r>
      <w:r>
        <w:rPr>
          <w:rFonts w:hint="eastAsia" w:ascii="宋体" w:hAnsi="宋体" w:eastAsia="宋体" w:cs="宋体"/>
          <w:color w:val="auto"/>
          <w:sz w:val="21"/>
          <w:szCs w:val="21"/>
        </w:rPr>
        <w:t>国内外有关标准，以及实验室用</w:t>
      </w:r>
      <w:r>
        <w:rPr>
          <w:rFonts w:hint="eastAsia" w:ascii="宋体" w:hAnsi="宋体" w:eastAsia="宋体" w:cs="宋体"/>
          <w:color w:val="auto"/>
          <w:sz w:val="21"/>
          <w:szCs w:val="21"/>
          <w:lang w:val="en-US" w:eastAsia="zh-CN"/>
        </w:rPr>
        <w:t>应急喷淋和洗眼设备</w:t>
      </w:r>
      <w:r>
        <w:rPr>
          <w:rFonts w:hint="eastAsia" w:ascii="宋体" w:hAnsi="宋体" w:eastAsia="宋体" w:cs="宋体"/>
          <w:color w:val="auto"/>
          <w:sz w:val="21"/>
          <w:szCs w:val="21"/>
        </w:rPr>
        <w:t>的实施情况等进行调研分析的基础上，归纳总结了其他行业标准制定的经验和各参与单位的科研成果，分析研究了实验室用</w:t>
      </w:r>
      <w:r>
        <w:rPr>
          <w:rFonts w:hint="eastAsia" w:ascii="宋体" w:hAnsi="宋体" w:eastAsia="宋体" w:cs="宋体"/>
          <w:color w:val="auto"/>
          <w:sz w:val="21"/>
          <w:szCs w:val="21"/>
          <w:lang w:val="en-US" w:eastAsia="zh-CN"/>
        </w:rPr>
        <w:t>应急喷淋和洗眼设备</w:t>
      </w:r>
      <w:r>
        <w:rPr>
          <w:rFonts w:hint="eastAsia" w:ascii="宋体" w:hAnsi="宋体" w:eastAsia="宋体" w:cs="宋体"/>
          <w:color w:val="auto"/>
          <w:sz w:val="21"/>
          <w:szCs w:val="21"/>
        </w:rPr>
        <w:t>的最新需求，编制形成了标准草案</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并</w:t>
      </w:r>
      <w:r>
        <w:rPr>
          <w:rFonts w:hint="eastAsia" w:ascii="宋体" w:hAnsi="宋体" w:eastAsia="宋体" w:cs="宋体"/>
          <w:color w:val="auto"/>
          <w:sz w:val="21"/>
          <w:szCs w:val="21"/>
          <w:lang w:eastAsia="zh-CN"/>
        </w:rPr>
        <w:t>向检测单位、用户等相关单位</w:t>
      </w:r>
      <w:r>
        <w:rPr>
          <w:rFonts w:hint="eastAsia" w:ascii="宋体" w:hAnsi="宋体" w:eastAsia="宋体" w:cs="宋体"/>
          <w:color w:val="auto"/>
          <w:sz w:val="21"/>
          <w:szCs w:val="21"/>
        </w:rPr>
        <w:t>开展内部研讨</w:t>
      </w:r>
      <w:r>
        <w:rPr>
          <w:rFonts w:hint="eastAsia" w:ascii="宋体" w:hAnsi="宋体" w:eastAsia="宋体" w:cs="宋体"/>
          <w:color w:val="auto"/>
          <w:sz w:val="21"/>
          <w:szCs w:val="21"/>
          <w:lang w:eastAsia="zh-CN"/>
        </w:rPr>
        <w:t>，听取相关意见后</w:t>
      </w:r>
      <w:r>
        <w:rPr>
          <w:rFonts w:hint="eastAsia" w:ascii="宋体" w:hAnsi="宋体" w:eastAsia="宋体" w:cs="宋体"/>
          <w:color w:val="auto"/>
          <w:sz w:val="21"/>
          <w:szCs w:val="21"/>
        </w:rPr>
        <w:t xml:space="preserve">修改完善形成标准征求意见稿及其编制说明。    </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采用国际标准和国外先进标准的情况</w:t>
      </w:r>
    </w:p>
    <w:p>
      <w:pPr>
        <w:spacing w:line="360" w:lineRule="auto"/>
        <w:ind w:firstLine="420" w:firstLineChars="200"/>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rPr>
        <w:t>本标准主要参考采用国内标准GB</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T 38144.1-2019 《眼面部防护 应急喷淋和洗眼设备 第1部分：技术要求》、GB</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T 38144.2-2019 《眼面部防护 应急喷淋和洗眼设备 第2部分：使用指南》。</w:t>
      </w:r>
      <w:r>
        <w:rPr>
          <w:rFonts w:hint="eastAsia" w:ascii="宋体" w:hAnsi="宋体" w:eastAsia="宋体" w:cs="宋体"/>
          <w:color w:val="auto"/>
          <w:sz w:val="21"/>
          <w:szCs w:val="21"/>
          <w:shd w:val="clear" w:color="auto" w:fill="FFFFFF"/>
        </w:rPr>
        <w:t>主要参数和要求参考国标中的相关技术指标，包括喷淋器和洗眼器的安装尺寸、技术要求以及测试试验的相关方法。本标准的相关内容完全涵盖在相关国标内容之内，完全没有内容要求在国标以外。国家的应急喷淋和洗眼器设备标准为2019年新发布版本，本标准在其基础上对外观涂层、包装、标识等进行了更详细的要求</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lang w:val="en-US" w:eastAsia="zh-CN"/>
        </w:rPr>
        <w:t>对</w:t>
      </w:r>
      <w:r>
        <w:rPr>
          <w:rFonts w:hint="eastAsia" w:ascii="宋体" w:hAnsi="宋体" w:eastAsia="宋体" w:cs="宋体"/>
          <w:color w:val="auto"/>
          <w:sz w:val="21"/>
          <w:szCs w:val="21"/>
          <w:shd w:val="clear" w:color="auto" w:fill="FFFFFF"/>
        </w:rPr>
        <w:t>测试方法</w:t>
      </w:r>
      <w:r>
        <w:rPr>
          <w:rFonts w:hint="eastAsia" w:ascii="宋体" w:hAnsi="宋体" w:eastAsia="宋体" w:cs="宋体"/>
          <w:color w:val="auto"/>
          <w:sz w:val="21"/>
          <w:szCs w:val="21"/>
          <w:shd w:val="clear" w:color="auto" w:fill="FFFFFF"/>
          <w:lang w:val="en-US" w:eastAsia="zh-CN"/>
        </w:rPr>
        <w:t>也进行了详实</w:t>
      </w:r>
      <w:r>
        <w:rPr>
          <w:rFonts w:hint="eastAsia" w:ascii="宋体" w:hAnsi="宋体" w:eastAsia="宋体" w:cs="宋体"/>
          <w:color w:val="auto"/>
          <w:sz w:val="21"/>
          <w:szCs w:val="21"/>
          <w:shd w:val="clear" w:color="auto" w:fill="FFFFFF"/>
        </w:rPr>
        <w:t>的陈述。而这些测试方法和要求，同样来自国标中的相关规定。</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确定标准主要内容的依据</w:t>
      </w:r>
    </w:p>
    <w:p>
      <w:pPr>
        <w:pStyle w:val="22"/>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本标准涉及的对象为实验室</w:t>
      </w:r>
      <w:r>
        <w:rPr>
          <w:rFonts w:hint="eastAsia" w:ascii="宋体" w:hAnsi="宋体" w:eastAsia="宋体" w:cs="宋体"/>
          <w:color w:val="auto"/>
          <w:sz w:val="21"/>
          <w:szCs w:val="21"/>
          <w:lang w:val="en-US" w:eastAsia="zh-CN"/>
        </w:rPr>
        <w:t>用</w:t>
      </w:r>
      <w:r>
        <w:rPr>
          <w:rFonts w:hint="eastAsia" w:ascii="宋体" w:hAnsi="宋体" w:eastAsia="宋体" w:cs="宋体"/>
          <w:color w:val="auto"/>
          <w:sz w:val="21"/>
          <w:szCs w:val="21"/>
        </w:rPr>
        <w:t>应急喷淋和洗眼设备产品，该产品广泛应用于实验室诸多场所，其产品包含应急喷淋器、洗眼/洗脸器、复合式装置、小型便携式冲洗装置、喷淋软管等。</w:t>
      </w:r>
    </w:p>
    <w:p>
      <w:pPr>
        <w:pStyle w:val="22"/>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本标准主要技术指标的确定依据如下：</w:t>
      </w:r>
    </w:p>
    <w:p>
      <w:pPr>
        <w:pStyle w:val="22"/>
        <w:numPr>
          <w:ilvl w:val="0"/>
          <w:numId w:val="4"/>
        </w:numPr>
        <w:spacing w:line="360" w:lineRule="auto"/>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Hans"/>
        </w:rPr>
        <w:t>原材料使用要求</w:t>
      </w:r>
    </w:p>
    <w:p>
      <w:pPr>
        <w:pStyle w:val="22"/>
        <w:numPr>
          <w:ilvl w:val="0"/>
          <w:numId w:val="0"/>
        </w:numPr>
        <w:spacing w:line="360" w:lineRule="auto"/>
        <w:ind w:leftChars="20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所使用的材料不得污染冲洗液</w:t>
      </w:r>
      <w:r>
        <w:rPr>
          <w:rFonts w:hint="eastAsia" w:ascii="宋体" w:hAnsi="宋体" w:eastAsia="宋体" w:cs="宋体"/>
          <w:color w:val="auto"/>
          <w:sz w:val="21"/>
          <w:szCs w:val="21"/>
          <w:lang w:val="zh-CN" w:bidi="zh-CN"/>
        </w:rPr>
        <w:t>，应</w:t>
      </w:r>
      <w:r>
        <w:rPr>
          <w:rFonts w:hint="eastAsia" w:ascii="宋体" w:hAnsi="宋体" w:eastAsia="宋体" w:cs="宋体"/>
          <w:color w:val="auto"/>
          <w:sz w:val="21"/>
          <w:szCs w:val="21"/>
        </w:rPr>
        <w:t>符合国家有关饮用水输配方面的标</w:t>
      </w:r>
      <w:r>
        <w:rPr>
          <w:rFonts w:hint="eastAsia" w:hAnsi="宋体" w:cs="宋体"/>
          <w:color w:val="auto"/>
          <w:sz w:val="21"/>
          <w:szCs w:val="21"/>
          <w:lang w:val="en-US" w:eastAsia="zh-CN"/>
        </w:rPr>
        <w:t>准。</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上述数据的确定参照 GB/T 38144.1—2019 《眼面部防护 应急喷淋和洗眼设备 第1部分：技术要求》对材质的要求而定。</w:t>
      </w:r>
    </w:p>
    <w:p>
      <w:pPr>
        <w:pStyle w:val="22"/>
        <w:numPr>
          <w:ilvl w:val="0"/>
          <w:numId w:val="5"/>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在腐蚀性较强的环境下，应急喷淋器宜采用耐腐蚀性能更好的材料</w:t>
      </w:r>
      <w:r>
        <w:rPr>
          <w:rFonts w:hint="eastAsia" w:ascii="宋体" w:hAnsi="宋体" w:eastAsia="宋体" w:cs="宋体"/>
          <w:color w:val="auto"/>
          <w:sz w:val="21"/>
          <w:szCs w:val="21"/>
          <w:lang w:val="en-US" w:eastAsia="zh-CN"/>
        </w:rPr>
        <w:t>SUS304</w:t>
      </w:r>
      <w:r>
        <w:rPr>
          <w:rFonts w:hint="eastAsia" w:ascii="宋体" w:hAnsi="宋体" w:eastAsia="宋体" w:cs="宋体"/>
          <w:color w:val="auto"/>
          <w:sz w:val="21"/>
          <w:szCs w:val="21"/>
        </w:rPr>
        <w:t>（06Cr17Ni12Mo2）,或者</w:t>
      </w:r>
      <w:r>
        <w:rPr>
          <w:rFonts w:hint="eastAsia" w:ascii="宋体" w:hAnsi="宋体" w:eastAsia="宋体" w:cs="宋体"/>
          <w:color w:val="auto"/>
          <w:sz w:val="21"/>
          <w:szCs w:val="21"/>
          <w:lang w:val="en-US" w:eastAsia="zh-CN"/>
        </w:rPr>
        <w:t>SUS316（</w:t>
      </w:r>
      <w:r>
        <w:rPr>
          <w:rFonts w:hint="eastAsia" w:ascii="宋体" w:hAnsi="宋体" w:eastAsia="宋体" w:cs="宋体"/>
          <w:color w:val="auto"/>
          <w:sz w:val="21"/>
          <w:szCs w:val="21"/>
        </w:rPr>
        <w:t>06Cr19Ni10</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，外加耐腐蚀环氧树脂粉末静电喷涂。</w:t>
      </w:r>
    </w:p>
    <w:p>
      <w:pPr>
        <w:pStyle w:val="22"/>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上述数据通过调查市面上主要生产厂家</w:t>
      </w:r>
      <w:r>
        <w:rPr>
          <w:rFonts w:hint="eastAsia" w:hAnsi="宋体" w:cs="宋体"/>
          <w:color w:val="auto"/>
          <w:sz w:val="21"/>
          <w:szCs w:val="21"/>
          <w:lang w:val="en-US" w:eastAsia="zh-CN"/>
        </w:rPr>
        <w:t>使用材料</w:t>
      </w:r>
      <w:r>
        <w:rPr>
          <w:rFonts w:hint="eastAsia" w:ascii="宋体" w:hAnsi="宋体" w:eastAsia="宋体" w:cs="宋体"/>
          <w:color w:val="auto"/>
          <w:sz w:val="21"/>
          <w:szCs w:val="21"/>
          <w:lang w:val="en-US" w:eastAsia="zh-CN"/>
        </w:rPr>
        <w:t>、以及SUS304和SUS316的材料特性而定。</w:t>
      </w:r>
    </w:p>
    <w:p>
      <w:pPr>
        <w:pStyle w:val="22"/>
        <w:numPr>
          <w:ilvl w:val="0"/>
          <w:numId w:val="5"/>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控制阀门所使用的材料不得污染冲</w:t>
      </w:r>
      <w:r>
        <w:rPr>
          <w:rFonts w:hint="eastAsia" w:ascii="宋体" w:hAnsi="宋体" w:eastAsia="宋体" w:cs="宋体"/>
          <w:color w:val="auto"/>
          <w:sz w:val="21"/>
          <w:szCs w:val="21"/>
          <w:lang w:val="zh-CN" w:bidi="zh-CN"/>
        </w:rPr>
        <w:t>洗液</w:t>
      </w:r>
      <w:r>
        <w:rPr>
          <w:rFonts w:hint="eastAsia" w:hAnsi="宋体" w:cs="宋体"/>
          <w:color w:val="auto"/>
          <w:sz w:val="21"/>
          <w:szCs w:val="21"/>
          <w:lang w:val="zh-CN" w:bidi="zh-CN"/>
        </w:rPr>
        <w:t>。</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上述数据的确定参照 GB/T 38144.1—2019 《眼面部防护 应急喷淋和洗眼设备 第1部分：技术要求》对材质的要求而定。</w:t>
      </w:r>
    </w:p>
    <w:p>
      <w:pPr>
        <w:pStyle w:val="22"/>
        <w:numPr>
          <w:ilvl w:val="0"/>
          <w:numId w:val="4"/>
        </w:numPr>
        <w:spacing w:line="360" w:lineRule="auto"/>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流量要求</w:t>
      </w:r>
    </w:p>
    <w:p>
      <w:pPr>
        <w:pStyle w:val="22"/>
        <w:numPr>
          <w:ilvl w:val="0"/>
          <w:numId w:val="6"/>
        </w:numPr>
        <w:spacing w:line="360" w:lineRule="auto"/>
        <w:ind w:firstLine="420" w:firstLineChars="200"/>
        <w:rPr>
          <w:rFonts w:hint="eastAsia" w:ascii="宋体" w:hAnsi="宋体" w:eastAsia="宋体" w:cs="宋体"/>
          <w:color w:val="auto"/>
          <w:sz w:val="21"/>
          <w:szCs w:val="21"/>
          <w:lang w:bidi="en-US"/>
        </w:rPr>
      </w:pPr>
      <w:r>
        <w:rPr>
          <w:rFonts w:hint="eastAsia" w:ascii="宋体" w:hAnsi="宋体" w:eastAsia="宋体" w:cs="宋体"/>
          <w:color w:val="auto"/>
          <w:sz w:val="21"/>
          <w:szCs w:val="21"/>
          <w:lang w:val="en-US" w:eastAsia="zh-CN"/>
        </w:rPr>
        <w:t>对于应急喷淋器，应以至少76 L/min的流量提供冲洗液</w:t>
      </w:r>
      <w:r>
        <w:rPr>
          <w:rFonts w:hint="eastAsia" w:ascii="宋体" w:hAnsi="宋体" w:eastAsia="宋体" w:cs="宋体"/>
          <w:color w:val="auto"/>
          <w:sz w:val="21"/>
          <w:szCs w:val="21"/>
          <w:lang w:val="zh-CN" w:eastAsia="zh-CN"/>
        </w:rPr>
        <w:t>，保持</w:t>
      </w:r>
      <w:r>
        <w:rPr>
          <w:rFonts w:hint="eastAsia" w:ascii="宋体" w:hAnsi="宋体" w:eastAsia="宋体" w:cs="宋体"/>
          <w:color w:val="auto"/>
          <w:sz w:val="21"/>
          <w:szCs w:val="21"/>
          <w:lang w:val="en-US" w:eastAsia="zh-CN"/>
        </w:rPr>
        <w:t>连续冲洗至少15 min。</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上述数据的确定参照 GB/T 38144.1—2019 《眼面部防护 应急喷淋和洗眼设备 第1部分：技术要求》对应急喷淋器的流量要求而定。</w:t>
      </w:r>
    </w:p>
    <w:p>
      <w:pPr>
        <w:pStyle w:val="22"/>
        <w:numPr>
          <w:ilvl w:val="0"/>
          <w:numId w:val="6"/>
        </w:numPr>
        <w:spacing w:line="360" w:lineRule="auto"/>
        <w:ind w:firstLine="420" w:firstLineChars="200"/>
        <w:rPr>
          <w:rFonts w:hint="eastAsia" w:ascii="宋体" w:hAnsi="宋体" w:eastAsia="宋体" w:cs="宋体"/>
          <w:color w:val="auto"/>
          <w:sz w:val="21"/>
          <w:szCs w:val="21"/>
          <w:lang w:bidi="en-US"/>
        </w:rPr>
      </w:pPr>
      <w:r>
        <w:rPr>
          <w:rFonts w:hint="eastAsia" w:ascii="宋体" w:hAnsi="宋体" w:eastAsia="宋体" w:cs="宋体"/>
          <w:color w:val="auto"/>
          <w:sz w:val="21"/>
          <w:szCs w:val="21"/>
          <w:lang w:bidi="zh-TW"/>
        </w:rPr>
        <w:t>对于</w:t>
      </w:r>
      <w:r>
        <w:rPr>
          <w:rFonts w:hint="eastAsia" w:ascii="宋体" w:hAnsi="宋体" w:eastAsia="宋体" w:cs="宋体"/>
          <w:color w:val="auto"/>
          <w:sz w:val="21"/>
          <w:szCs w:val="21"/>
        </w:rPr>
        <w:t>洗眼器，</w:t>
      </w:r>
      <w:r>
        <w:rPr>
          <w:rFonts w:hint="eastAsia" w:ascii="宋体" w:hAnsi="宋体" w:eastAsia="宋体" w:cs="宋体"/>
          <w:color w:val="auto"/>
          <w:sz w:val="21"/>
          <w:szCs w:val="21"/>
          <w:lang w:val="zh-TW" w:bidi="en-US"/>
        </w:rPr>
        <w:t>应以至少</w:t>
      </w:r>
      <w:r>
        <w:rPr>
          <w:rFonts w:hint="eastAsia" w:ascii="宋体" w:hAnsi="宋体" w:eastAsia="宋体" w:cs="宋体"/>
          <w:color w:val="auto"/>
          <w:sz w:val="21"/>
          <w:szCs w:val="21"/>
          <w:lang w:bidi="en-US"/>
        </w:rPr>
        <w:t>1.5 L/min</w:t>
      </w:r>
      <w:r>
        <w:rPr>
          <w:rFonts w:hint="eastAsia" w:ascii="宋体" w:hAnsi="宋体" w:eastAsia="宋体" w:cs="宋体"/>
          <w:color w:val="auto"/>
          <w:sz w:val="21"/>
          <w:szCs w:val="21"/>
          <w:lang w:val="zh-TW" w:bidi="en-US"/>
        </w:rPr>
        <w:t xml:space="preserve">的流量提供冲洗液，保持洗眼至少15 </w:t>
      </w:r>
      <w:r>
        <w:rPr>
          <w:rFonts w:hint="eastAsia" w:ascii="宋体" w:hAnsi="宋体" w:eastAsia="宋体" w:cs="宋体"/>
          <w:color w:val="auto"/>
          <w:sz w:val="21"/>
          <w:szCs w:val="21"/>
          <w:lang w:bidi="en-US"/>
        </w:rPr>
        <w:t>min。</w:t>
      </w:r>
    </w:p>
    <w:p>
      <w:pPr>
        <w:pStyle w:val="22"/>
        <w:numPr>
          <w:ilvl w:val="0"/>
          <w:numId w:val="0"/>
        </w:numPr>
        <w:spacing w:line="360" w:lineRule="auto"/>
        <w:ind w:firstLine="420" w:firstLineChars="200"/>
        <w:rPr>
          <w:rFonts w:hint="eastAsia" w:ascii="宋体" w:hAnsi="宋体" w:eastAsia="宋体" w:cs="宋体"/>
          <w:color w:val="auto"/>
          <w:sz w:val="21"/>
          <w:szCs w:val="21"/>
          <w:lang w:bidi="en-US"/>
        </w:rPr>
      </w:pPr>
      <w:r>
        <w:rPr>
          <w:rFonts w:hint="eastAsia" w:ascii="宋体" w:hAnsi="宋体" w:eastAsia="宋体" w:cs="宋体"/>
          <w:color w:val="auto"/>
          <w:sz w:val="21"/>
          <w:szCs w:val="21"/>
          <w:lang w:val="en-US" w:eastAsia="zh-CN"/>
        </w:rPr>
        <w:t>上述数据的确定参照 GB/T 38144.1—2019 《眼面部防护 应急喷淋和洗眼设备 第1部分：技术要求》对洗眼器的流量要求而定。</w:t>
      </w:r>
    </w:p>
    <w:p>
      <w:pPr>
        <w:pStyle w:val="22"/>
        <w:numPr>
          <w:ilvl w:val="0"/>
          <w:numId w:val="6"/>
        </w:num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bidi="zh-TW"/>
        </w:rPr>
        <w:t>对于</w:t>
      </w:r>
      <w:r>
        <w:rPr>
          <w:rFonts w:hint="eastAsia" w:ascii="宋体" w:hAnsi="宋体" w:eastAsia="宋体" w:cs="宋体"/>
          <w:color w:val="auto"/>
          <w:sz w:val="21"/>
          <w:szCs w:val="21"/>
        </w:rPr>
        <w:t>洗眼/洗脸器，</w:t>
      </w:r>
      <w:r>
        <w:rPr>
          <w:rFonts w:hint="eastAsia" w:ascii="宋体" w:hAnsi="宋体" w:eastAsia="宋体" w:cs="宋体"/>
          <w:color w:val="auto"/>
          <w:sz w:val="21"/>
          <w:szCs w:val="21"/>
          <w:lang w:val="zh-TW" w:bidi="zh-TW"/>
        </w:rPr>
        <w:t>应以至少</w:t>
      </w:r>
      <w:r>
        <w:rPr>
          <w:rFonts w:hint="eastAsia" w:ascii="宋体" w:hAnsi="宋体" w:eastAsia="宋体" w:cs="宋体"/>
          <w:color w:val="auto"/>
          <w:sz w:val="21"/>
          <w:szCs w:val="21"/>
          <w:lang w:bidi="en-US"/>
        </w:rPr>
        <w:t>11.4 L/min</w:t>
      </w:r>
      <w:r>
        <w:rPr>
          <w:rFonts w:hint="eastAsia" w:ascii="宋体" w:hAnsi="宋体" w:eastAsia="宋体" w:cs="宋体"/>
          <w:color w:val="auto"/>
          <w:sz w:val="21"/>
          <w:szCs w:val="21"/>
          <w:lang w:val="zh-TW" w:bidi="zh-TW"/>
        </w:rPr>
        <w:t xml:space="preserve">的流量提供冲洗液,保持冲洗至少15 </w:t>
      </w:r>
      <w:r>
        <w:rPr>
          <w:rFonts w:hint="eastAsia" w:ascii="宋体" w:hAnsi="宋体" w:eastAsia="宋体" w:cs="宋体"/>
          <w:color w:val="auto"/>
          <w:sz w:val="21"/>
          <w:szCs w:val="21"/>
          <w:lang w:bidi="en-US"/>
        </w:rPr>
        <w:t>min。</w:t>
      </w:r>
    </w:p>
    <w:p>
      <w:pPr>
        <w:pStyle w:val="22"/>
        <w:numPr>
          <w:ilvl w:val="0"/>
          <w:numId w:val="0"/>
        </w:num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上述数据的确定参照 GB/T 38144.1—2019 《眼面部防护 应急喷淋和洗眼设备 第1部分：技术要求》对</w:t>
      </w:r>
      <w:r>
        <w:rPr>
          <w:rFonts w:hint="eastAsia" w:ascii="宋体" w:hAnsi="宋体" w:eastAsia="宋体" w:cs="宋体"/>
          <w:color w:val="auto"/>
          <w:sz w:val="21"/>
          <w:szCs w:val="21"/>
        </w:rPr>
        <w:t>洗眼/洗脸器</w:t>
      </w:r>
      <w:r>
        <w:rPr>
          <w:rFonts w:hint="eastAsia" w:ascii="宋体" w:hAnsi="宋体" w:eastAsia="宋体" w:cs="宋体"/>
          <w:color w:val="auto"/>
          <w:sz w:val="21"/>
          <w:szCs w:val="21"/>
          <w:lang w:val="en-US" w:eastAsia="zh-CN"/>
        </w:rPr>
        <w:t>的流量要求而定。</w:t>
      </w:r>
    </w:p>
    <w:p>
      <w:pPr>
        <w:pStyle w:val="22"/>
        <w:numPr>
          <w:ilvl w:val="0"/>
          <w:numId w:val="6"/>
        </w:num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对于复合式装置</w:t>
      </w:r>
      <w:r>
        <w:rPr>
          <w:rFonts w:hint="eastAsia" w:ascii="宋体" w:hAnsi="宋体" w:eastAsia="宋体" w:cs="宋体"/>
          <w:color w:val="auto"/>
          <w:sz w:val="21"/>
          <w:szCs w:val="21"/>
          <w:lang w:eastAsia="zh-CN"/>
        </w:rPr>
        <w:t>，复合式装置中的应急喷淋器、洗眼器、洗眼/洗脸器应能同时使用，在单独使用或同时使用时，均应符合如下要求：</w:t>
      </w:r>
    </w:p>
    <w:p>
      <w:pPr>
        <w:pStyle w:val="22"/>
        <w:spacing w:beforeLines="50" w:afterLines="50" w:line="280" w:lineRule="atLeast"/>
        <w:ind w:firstLine="630" w:firstLineChars="300"/>
        <w:jc w:val="left"/>
        <w:rPr>
          <w:rFonts w:hint="eastAsia" w:ascii="宋体" w:hAnsi="宋体" w:eastAsia="宋体" w:cs="宋体"/>
          <w:color w:val="auto"/>
          <w:sz w:val="21"/>
          <w:szCs w:val="21"/>
          <w:lang w:bidi="zh-TW"/>
        </w:rPr>
      </w:pPr>
      <w:r>
        <w:rPr>
          <w:rFonts w:hint="eastAsia" w:ascii="宋体" w:hAnsi="宋体" w:eastAsia="宋体" w:cs="宋体"/>
          <w:color w:val="auto"/>
          <w:sz w:val="21"/>
          <w:szCs w:val="21"/>
        </w:rPr>
        <w:t>a) 应急喷淋器应满足</w:t>
      </w:r>
      <w:r>
        <w:rPr>
          <w:rFonts w:hint="eastAsia" w:ascii="宋体" w:hAnsi="宋体" w:eastAsia="宋体" w:cs="宋体"/>
          <w:color w:val="auto"/>
          <w:sz w:val="21"/>
          <w:szCs w:val="21"/>
          <w:lang w:bidi="zh-TW"/>
        </w:rPr>
        <w:t>6.1.2.1 的要求；</w:t>
      </w:r>
    </w:p>
    <w:p>
      <w:pPr>
        <w:pStyle w:val="22"/>
        <w:spacing w:beforeLines="50" w:afterLines="50" w:line="280" w:lineRule="atLeast"/>
        <w:ind w:firstLine="630" w:firstLineChars="300"/>
        <w:jc w:val="left"/>
        <w:rPr>
          <w:rFonts w:hint="eastAsia" w:ascii="宋体" w:hAnsi="宋体" w:eastAsia="宋体" w:cs="宋体"/>
          <w:color w:val="auto"/>
          <w:sz w:val="21"/>
          <w:szCs w:val="21"/>
          <w:lang w:bidi="zh-TW"/>
        </w:rPr>
      </w:pPr>
      <w:r>
        <w:rPr>
          <w:rFonts w:hint="eastAsia" w:ascii="宋体" w:hAnsi="宋体" w:eastAsia="宋体" w:cs="宋体"/>
          <w:color w:val="auto"/>
          <w:sz w:val="21"/>
          <w:szCs w:val="21"/>
        </w:rPr>
        <w:t>b) 洗眼器应满足</w:t>
      </w:r>
      <w:r>
        <w:rPr>
          <w:rFonts w:hint="eastAsia" w:ascii="宋体" w:hAnsi="宋体" w:eastAsia="宋体" w:cs="宋体"/>
          <w:color w:val="auto"/>
          <w:sz w:val="21"/>
          <w:szCs w:val="21"/>
          <w:lang w:bidi="zh-TW"/>
        </w:rPr>
        <w:t>6.1.2.2 的要求；</w:t>
      </w:r>
    </w:p>
    <w:p>
      <w:pPr>
        <w:pStyle w:val="22"/>
        <w:spacing w:beforeLines="50" w:afterLines="50" w:line="280" w:lineRule="atLeast"/>
        <w:ind w:firstLine="630" w:firstLineChars="300"/>
        <w:jc w:val="left"/>
        <w:rPr>
          <w:rFonts w:hint="eastAsia" w:ascii="宋体" w:hAnsi="宋体" w:eastAsia="宋体" w:cs="宋体"/>
          <w:color w:val="auto"/>
          <w:sz w:val="21"/>
          <w:szCs w:val="21"/>
          <w:lang w:bidi="zh-TW"/>
        </w:rPr>
      </w:pPr>
      <w:r>
        <w:rPr>
          <w:rFonts w:hint="eastAsia" w:ascii="宋体" w:hAnsi="宋体" w:eastAsia="宋体" w:cs="宋体"/>
          <w:color w:val="auto"/>
          <w:sz w:val="21"/>
          <w:szCs w:val="21"/>
        </w:rPr>
        <w:t>c) 洗眼/洗脸器则应满足</w:t>
      </w:r>
      <w:r>
        <w:rPr>
          <w:rFonts w:hint="eastAsia" w:ascii="宋体" w:hAnsi="宋体" w:eastAsia="宋体" w:cs="宋体"/>
          <w:color w:val="auto"/>
          <w:sz w:val="21"/>
          <w:szCs w:val="21"/>
          <w:lang w:bidi="zh-TW"/>
        </w:rPr>
        <w:t>6.1.2.3 的要求。</w:t>
      </w:r>
    </w:p>
    <w:p>
      <w:pPr>
        <w:pStyle w:val="22"/>
        <w:numPr>
          <w:ilvl w:val="0"/>
          <w:numId w:val="0"/>
        </w:num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上述数据的确定参照 GB/T 38144.1—2019 《眼面部防护 应急喷淋和洗眼设备 第1部分：技术要求》对复合式装置的流量要求而定。</w:t>
      </w:r>
    </w:p>
    <w:p>
      <w:pPr>
        <w:pStyle w:val="22"/>
        <w:numPr>
          <w:ilvl w:val="0"/>
          <w:numId w:val="4"/>
        </w:numPr>
        <w:spacing w:line="360" w:lineRule="auto"/>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产品尺寸</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1）洗眼器应能给双眼同时供应冲洗液，喷射稳定后，喷嘴供应的冲洗液射流的高度应不低于100 mm、不高于300 mm。</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上述数据参考 GB/T 38144.1—2019 《眼面部防护 应急喷淋和洗眼设备 第1部分：技术要求》中典型的洗眼标准尺的数据，同时结合实际使用过程中</w:t>
      </w:r>
      <w:r>
        <w:rPr>
          <w:rFonts w:hint="eastAsia" w:hAnsi="宋体" w:cs="宋体"/>
          <w:color w:val="auto"/>
          <w:sz w:val="21"/>
          <w:szCs w:val="21"/>
          <w:lang w:val="en-US" w:eastAsia="zh-CN"/>
        </w:rPr>
        <w:t>相关</w:t>
      </w:r>
      <w:r>
        <w:rPr>
          <w:rFonts w:hint="eastAsia" w:ascii="宋体" w:hAnsi="宋体" w:eastAsia="宋体" w:cs="宋体"/>
          <w:color w:val="auto"/>
          <w:sz w:val="21"/>
          <w:szCs w:val="21"/>
          <w:lang w:val="en-US" w:eastAsia="zh-CN"/>
        </w:rPr>
        <w:t>因素的影响，将喷射高度</w:t>
      </w:r>
      <w:r>
        <w:rPr>
          <w:rFonts w:hint="eastAsia" w:hAnsi="宋体" w:cs="宋体"/>
          <w:color w:val="auto"/>
          <w:sz w:val="21"/>
          <w:szCs w:val="21"/>
          <w:lang w:val="en-US" w:eastAsia="zh-CN"/>
        </w:rPr>
        <w:t>确定在</w:t>
      </w:r>
      <w:r>
        <w:rPr>
          <w:rFonts w:hint="eastAsia" w:ascii="宋体" w:hAnsi="宋体" w:eastAsia="宋体" w:cs="宋体"/>
          <w:color w:val="auto"/>
          <w:sz w:val="21"/>
          <w:szCs w:val="21"/>
          <w:lang w:val="en-US" w:eastAsia="zh-CN"/>
        </w:rPr>
        <w:t>100~300 mm之间。</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2）本标准中除1）以外的产品尺寸，参照 GB/T 38144.1—2019 《眼面部防护 应急喷淋和洗眼设备 第1部分：技术要求》中对产品尺寸的要求而定。</w:t>
      </w:r>
    </w:p>
    <w:p>
      <w:pPr>
        <w:pStyle w:val="22"/>
        <w:numPr>
          <w:ilvl w:val="0"/>
          <w:numId w:val="4"/>
        </w:numPr>
        <w:spacing w:line="360" w:lineRule="auto"/>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Hans"/>
        </w:rPr>
        <w:t>表面耐腐蚀</w:t>
      </w:r>
      <w:r>
        <w:rPr>
          <w:rFonts w:hint="eastAsia" w:ascii="宋体" w:hAnsi="宋体" w:eastAsia="宋体" w:cs="宋体"/>
          <w:color w:val="auto"/>
          <w:sz w:val="21"/>
          <w:szCs w:val="21"/>
          <w:lang w:val="en-US" w:eastAsia="zh-CN"/>
        </w:rPr>
        <w:t>性</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1）产品</w:t>
      </w:r>
      <w:r>
        <w:rPr>
          <w:rFonts w:hint="eastAsia" w:ascii="宋体" w:hAnsi="宋体" w:eastAsia="宋体" w:cs="宋体"/>
          <w:color w:val="auto"/>
          <w:sz w:val="21"/>
          <w:szCs w:val="21"/>
          <w:lang w:val="en-US" w:eastAsia="zh-Hans"/>
        </w:rPr>
        <w:t>表面耐</w:t>
      </w:r>
      <w:r>
        <w:rPr>
          <w:rFonts w:hint="eastAsia" w:ascii="宋体" w:hAnsi="宋体" w:eastAsia="宋体" w:cs="宋体"/>
          <w:color w:val="auto"/>
          <w:sz w:val="21"/>
          <w:szCs w:val="21"/>
          <w:lang w:val="en-US" w:eastAsia="zh-CN"/>
        </w:rPr>
        <w:t>盐雾测试后，应不低于GB/T 6461-2002 标准的表1中外观评级(RA) 9级的要求。</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上述要求</w:t>
      </w:r>
      <w:r>
        <w:rPr>
          <w:rFonts w:hint="eastAsia" w:ascii="宋体" w:hAnsi="宋体" w:eastAsia="宋体" w:cs="宋体"/>
          <w:color w:val="auto"/>
          <w:sz w:val="21"/>
          <w:szCs w:val="21"/>
          <w:lang w:val="en-US" w:eastAsia="zh-Hans"/>
        </w:rPr>
        <w:t>参照国内标准GB/T 10125―</w:t>
      </w:r>
      <w:r>
        <w:rPr>
          <w:rFonts w:hint="eastAsia" w:ascii="宋体" w:hAnsi="宋体" w:eastAsia="宋体" w:cs="宋体"/>
          <w:color w:val="auto"/>
          <w:sz w:val="21"/>
          <w:szCs w:val="21"/>
          <w:lang w:val="en-US" w:eastAsia="zh-CN"/>
        </w:rPr>
        <w:t>2012《</w:t>
      </w:r>
      <w:r>
        <w:rPr>
          <w:rFonts w:hint="eastAsia" w:ascii="宋体" w:hAnsi="宋体" w:eastAsia="宋体" w:cs="宋体"/>
          <w:color w:val="auto"/>
          <w:sz w:val="21"/>
          <w:szCs w:val="21"/>
          <w:lang w:val="en-US" w:eastAsia="zh-Hans"/>
        </w:rPr>
        <w:t>人造气氛腐蚀试验盐雾试验</w:t>
      </w:r>
      <w:r>
        <w:rPr>
          <w:rFonts w:hint="eastAsia" w:ascii="宋体" w:hAnsi="宋体" w:eastAsia="宋体" w:cs="宋体"/>
          <w:color w:val="auto"/>
          <w:sz w:val="21"/>
          <w:szCs w:val="21"/>
          <w:lang w:val="en-US" w:eastAsia="zh-CN"/>
        </w:rPr>
        <w:t>》，进行24 h乙酸盐雾试验</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2）产品</w:t>
      </w:r>
      <w:r>
        <w:rPr>
          <w:rFonts w:hint="eastAsia" w:ascii="宋体" w:hAnsi="宋体" w:eastAsia="宋体" w:cs="宋体"/>
          <w:color w:val="auto"/>
          <w:sz w:val="21"/>
          <w:szCs w:val="21"/>
          <w:lang w:val="en-US" w:eastAsia="zh-Hans"/>
        </w:rPr>
        <w:t>表面耐腐蚀</w:t>
      </w:r>
      <w:r>
        <w:rPr>
          <w:rFonts w:hint="eastAsia" w:ascii="宋体" w:hAnsi="宋体" w:eastAsia="宋体" w:cs="宋体"/>
          <w:color w:val="auto"/>
          <w:sz w:val="21"/>
          <w:szCs w:val="21"/>
          <w:lang w:val="en-US" w:eastAsia="zh-CN"/>
        </w:rPr>
        <w:t>性的试验应通过50种化学试剂的试验，测试结果应不大于二个3级（涂层出现起坑、凹陷、凸起或侵蚀等明显和剧烈的损害）。</w:t>
      </w:r>
    </w:p>
    <w:p>
      <w:pPr>
        <w:pStyle w:val="22"/>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50种化学试剂的选定参照</w:t>
      </w:r>
      <w:r>
        <w:rPr>
          <w:rFonts w:hint="eastAsia" w:ascii="宋体" w:hAnsi="宋体" w:eastAsia="宋体" w:cs="宋体"/>
          <w:color w:val="auto"/>
          <w:sz w:val="21"/>
          <w:szCs w:val="21"/>
          <w:lang w:val="en-US" w:eastAsia="zh-Hans"/>
        </w:rPr>
        <w:t>美国科学仪器设备实验室家具协会（SEFA）</w:t>
      </w:r>
      <w:r>
        <w:rPr>
          <w:rFonts w:hint="eastAsia" w:ascii="宋体" w:hAnsi="宋体" w:eastAsia="宋体" w:cs="宋体"/>
          <w:color w:val="auto"/>
          <w:sz w:val="21"/>
          <w:szCs w:val="21"/>
          <w:lang w:val="en-US" w:eastAsia="zh-CN"/>
        </w:rPr>
        <w:t>中规定的49试剂并结合自身产品特性，最终确定50种化学试剂。</w:t>
      </w:r>
    </w:p>
    <w:p>
      <w:pPr>
        <w:pStyle w:val="22"/>
        <w:numPr>
          <w:ilvl w:val="0"/>
          <w:numId w:val="4"/>
        </w:numPr>
        <w:spacing w:line="360" w:lineRule="auto"/>
        <w:ind w:left="0" w:leftChars="0" w:firstLine="420" w:firstLineChars="200"/>
        <w:rPr>
          <w:rFonts w:hint="eastAsia" w:ascii="宋体" w:hAnsi="宋体" w:eastAsia="宋体" w:cs="宋体"/>
          <w:color w:val="auto"/>
          <w:sz w:val="21"/>
          <w:szCs w:val="21"/>
          <w:lang w:val="zh-TW" w:eastAsia="zh-CN"/>
        </w:rPr>
      </w:pPr>
      <w:r>
        <w:rPr>
          <w:rFonts w:hint="eastAsia" w:ascii="宋体" w:hAnsi="宋体" w:eastAsia="宋体" w:cs="宋体"/>
          <w:color w:val="auto"/>
          <w:sz w:val="21"/>
          <w:szCs w:val="21"/>
          <w:lang w:val="zh-TW" w:eastAsia="zh-CN"/>
        </w:rPr>
        <w:t>涂层附着强度试验</w:t>
      </w:r>
      <w:bookmarkStart w:id="1" w:name="_Toc24709"/>
      <w:bookmarkStart w:id="2" w:name="_Toc8148"/>
      <w:bookmarkStart w:id="3" w:name="_Toc540"/>
      <w:bookmarkStart w:id="4" w:name="_Toc24017"/>
    </w:p>
    <w:p>
      <w:pPr>
        <w:tabs>
          <w:tab w:val="left" w:pos="0"/>
        </w:tabs>
        <w:spacing w:after="60" w:line="360" w:lineRule="exact"/>
        <w:ind w:firstLine="422"/>
        <w:rPr>
          <w:rFonts w:hint="eastAsia" w:ascii="宋体" w:hAnsi="宋体" w:eastAsia="宋体" w:cs="宋体"/>
          <w:b w:val="0"/>
          <w:bCs/>
          <w:color w:val="auto"/>
          <w:sz w:val="21"/>
          <w:szCs w:val="21"/>
        </w:rPr>
      </w:pPr>
      <w:r>
        <w:rPr>
          <w:rFonts w:hint="eastAsia" w:ascii="宋体" w:hAnsi="宋体" w:eastAsia="宋体" w:cs="宋体"/>
          <w:color w:val="auto"/>
          <w:sz w:val="21"/>
          <w:szCs w:val="21"/>
          <w:shd w:val="clear" w:color="auto" w:fill="FFFFFF"/>
        </w:rPr>
        <w:t>按照GB/T 9286-1998规定的方法在</w:t>
      </w:r>
      <w:r>
        <w:rPr>
          <w:rFonts w:hint="eastAsia" w:ascii="宋体" w:hAnsi="宋体" w:eastAsia="宋体" w:cs="宋体"/>
          <w:color w:val="auto"/>
          <w:sz w:val="21"/>
          <w:szCs w:val="21"/>
        </w:rPr>
        <w:t>应急喷淋和洗眼设备</w:t>
      </w:r>
      <w:r>
        <w:rPr>
          <w:rFonts w:hint="eastAsia" w:ascii="宋体" w:hAnsi="宋体" w:eastAsia="宋体" w:cs="宋体"/>
          <w:color w:val="auto"/>
          <w:sz w:val="21"/>
          <w:szCs w:val="21"/>
          <w:shd w:val="clear" w:color="auto" w:fill="FFFFFF"/>
        </w:rPr>
        <w:t>上较平整的表面进行划格试验</w:t>
      </w:r>
      <w:bookmarkEnd w:id="1"/>
      <w:bookmarkEnd w:id="2"/>
      <w:bookmarkEnd w:id="3"/>
      <w:bookmarkEnd w:id="4"/>
      <w:r>
        <w:rPr>
          <w:rFonts w:hint="eastAsia" w:ascii="宋体" w:hAnsi="宋体" w:eastAsia="宋体" w:cs="宋体"/>
          <w:color w:val="auto"/>
          <w:sz w:val="21"/>
          <w:szCs w:val="21"/>
          <w:shd w:val="clear" w:color="auto" w:fill="FFFFFF"/>
          <w:lang w:val="en-US" w:eastAsia="zh-CN"/>
        </w:rPr>
        <w:t>，</w:t>
      </w:r>
      <w:r>
        <w:rPr>
          <w:rFonts w:hint="eastAsia" w:ascii="宋体" w:hAnsi="宋体" w:eastAsia="宋体" w:cs="宋体"/>
          <w:b w:val="0"/>
          <w:bCs/>
          <w:color w:val="auto"/>
          <w:sz w:val="21"/>
          <w:szCs w:val="21"/>
        </w:rPr>
        <w:t>等级4B或以上（95%或以上的网格区域涂层应完整）。</w:t>
      </w:r>
    </w:p>
    <w:p>
      <w:pPr>
        <w:pStyle w:val="22"/>
        <w:numPr>
          <w:ilvl w:val="0"/>
          <w:numId w:val="4"/>
        </w:numPr>
        <w:spacing w:line="360" w:lineRule="auto"/>
        <w:ind w:left="0" w:leftChars="0" w:firstLine="420" w:firstLineChars="200"/>
        <w:rPr>
          <w:rFonts w:hint="eastAsia" w:ascii="宋体" w:hAnsi="宋体" w:eastAsia="宋体" w:cs="宋体"/>
          <w:color w:val="auto"/>
          <w:sz w:val="21"/>
          <w:szCs w:val="21"/>
          <w:lang w:val="zh-TW" w:eastAsia="zh-CN"/>
        </w:rPr>
      </w:pPr>
      <w:r>
        <w:rPr>
          <w:rFonts w:hint="eastAsia" w:ascii="宋体" w:hAnsi="宋体" w:eastAsia="宋体" w:cs="宋体"/>
          <w:color w:val="auto"/>
          <w:sz w:val="21"/>
          <w:szCs w:val="21"/>
          <w:lang w:val="zh-TW" w:eastAsia="zh-CN"/>
        </w:rPr>
        <w:t>产品上相关标志</w:t>
      </w:r>
    </w:p>
    <w:p>
      <w:pPr>
        <w:tabs>
          <w:tab w:val="left" w:pos="0"/>
        </w:tabs>
        <w:spacing w:after="60" w:line="360" w:lineRule="exact"/>
        <w:ind w:firstLine="422"/>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产品上相关标识</w:t>
      </w:r>
      <w:r>
        <w:rPr>
          <w:rFonts w:hint="eastAsia" w:ascii="宋体" w:hAnsi="宋体" w:eastAsia="宋体" w:cs="宋体"/>
          <w:color w:val="auto"/>
          <w:sz w:val="21"/>
          <w:szCs w:val="21"/>
          <w:shd w:val="clear" w:color="auto" w:fill="FFFFFF"/>
        </w:rPr>
        <w:t>符合 GB/T 2893.5-2020的要求</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lang w:val="en-US" w:eastAsia="zh-CN"/>
        </w:rPr>
        <w:t xml:space="preserve">同时参考了EN </w:t>
      </w:r>
      <w:r>
        <w:rPr>
          <w:rFonts w:hint="eastAsia" w:ascii="宋体" w:hAnsi="宋体" w:eastAsia="宋体" w:cs="宋体"/>
          <w:color w:val="auto"/>
          <w:sz w:val="21"/>
          <w:szCs w:val="21"/>
          <w:shd w:val="clear" w:color="auto" w:fill="FFFFFF"/>
        </w:rPr>
        <w:t>ISO 7010-2020</w:t>
      </w:r>
      <w:r>
        <w:rPr>
          <w:rFonts w:hint="eastAsia" w:ascii="宋体" w:hAnsi="宋体" w:eastAsia="宋体" w:cs="宋体"/>
          <w:color w:val="auto"/>
          <w:sz w:val="21"/>
          <w:szCs w:val="21"/>
          <w:shd w:val="clear" w:color="auto" w:fill="FFFFFF"/>
          <w:lang w:val="en-US" w:eastAsia="zh-CN"/>
        </w:rPr>
        <w:t xml:space="preserve"> 《图形符号</w:t>
      </w:r>
      <w:r>
        <w:rPr>
          <w:rFonts w:hint="eastAsia" w:ascii="宋体" w:hAnsi="宋体" w:eastAsia="宋体" w:cs="宋体"/>
          <w:color w:val="auto"/>
          <w:sz w:val="21"/>
          <w:szCs w:val="21"/>
          <w:shd w:val="clear" w:color="auto" w:fill="FFFFFF"/>
          <w:lang w:val="zh-TW" w:eastAsia="zh-TW"/>
        </w:rPr>
        <w:t>一</w:t>
      </w:r>
      <w:r>
        <w:rPr>
          <w:rFonts w:hint="eastAsia" w:ascii="宋体" w:hAnsi="宋体" w:eastAsia="宋体" w:cs="宋体"/>
          <w:color w:val="auto"/>
          <w:sz w:val="21"/>
          <w:szCs w:val="21"/>
          <w:shd w:val="clear" w:color="auto" w:fill="FFFFFF"/>
          <w:lang w:val="en-US" w:eastAsia="zh-CN"/>
        </w:rPr>
        <w:t>安全颜色和安全标志</w:t>
      </w:r>
      <w:r>
        <w:rPr>
          <w:rFonts w:hint="eastAsia" w:ascii="宋体" w:hAnsi="宋体" w:eastAsia="宋体" w:cs="宋体"/>
          <w:color w:val="auto"/>
          <w:sz w:val="21"/>
          <w:szCs w:val="21"/>
          <w:shd w:val="clear" w:color="auto" w:fill="FFFFFF"/>
          <w:lang w:val="zh-TW" w:eastAsia="zh-TW"/>
        </w:rPr>
        <w:t>一</w:t>
      </w:r>
      <w:r>
        <w:rPr>
          <w:rFonts w:hint="eastAsia" w:ascii="宋体" w:hAnsi="宋体" w:eastAsia="宋体" w:cs="宋体"/>
          <w:color w:val="auto"/>
          <w:sz w:val="21"/>
          <w:szCs w:val="21"/>
          <w:shd w:val="clear" w:color="auto" w:fill="FFFFFF"/>
          <w:lang w:val="en-US" w:eastAsia="zh-CN"/>
        </w:rPr>
        <w:t>注册安全标志》（</w:t>
      </w:r>
      <w:r>
        <w:rPr>
          <w:rFonts w:hint="eastAsia" w:ascii="宋体" w:hAnsi="宋体" w:eastAsia="宋体" w:cs="宋体"/>
          <w:color w:val="auto"/>
          <w:sz w:val="21"/>
          <w:szCs w:val="21"/>
          <w:shd w:val="clear" w:color="auto" w:fill="FFFFFF"/>
        </w:rPr>
        <w:t>Graphical symbols</w:t>
      </w:r>
      <w:r>
        <w:rPr>
          <w:rFonts w:hint="eastAsia" w:ascii="宋体" w:hAnsi="宋体" w:eastAsia="宋体" w:cs="宋体"/>
          <w:color w:val="auto"/>
          <w:sz w:val="21"/>
          <w:szCs w:val="21"/>
          <w:shd w:val="clear" w:color="auto" w:fill="FFFFFF"/>
          <w:lang w:val="zh-TW" w:eastAsia="zh-TW"/>
        </w:rPr>
        <w:t>一</w:t>
      </w:r>
      <w:r>
        <w:rPr>
          <w:rFonts w:hint="eastAsia" w:ascii="宋体" w:hAnsi="宋体" w:eastAsia="宋体" w:cs="宋体"/>
          <w:color w:val="auto"/>
          <w:sz w:val="21"/>
          <w:szCs w:val="21"/>
          <w:shd w:val="clear" w:color="auto" w:fill="FFFFFF"/>
        </w:rPr>
        <w:t>Safety colours and safety signs</w:t>
      </w:r>
      <w:r>
        <w:rPr>
          <w:rFonts w:hint="eastAsia" w:ascii="宋体" w:hAnsi="宋体" w:eastAsia="宋体" w:cs="宋体"/>
          <w:color w:val="auto"/>
          <w:sz w:val="21"/>
          <w:szCs w:val="21"/>
          <w:shd w:val="clear" w:color="auto" w:fill="FFFFFF"/>
          <w:lang w:val="zh-TW" w:eastAsia="zh-TW"/>
        </w:rPr>
        <w:t>一</w:t>
      </w:r>
      <w:r>
        <w:rPr>
          <w:rFonts w:hint="eastAsia" w:ascii="宋体" w:hAnsi="宋体" w:eastAsia="宋体" w:cs="宋体"/>
          <w:color w:val="auto"/>
          <w:sz w:val="21"/>
          <w:szCs w:val="21"/>
          <w:shd w:val="clear" w:color="auto" w:fill="FFFFFF"/>
        </w:rPr>
        <w:t>Registered safety signs</w:t>
      </w:r>
      <w:r>
        <w:rPr>
          <w:rFonts w:hint="eastAsia" w:ascii="宋体" w:hAnsi="宋体" w:eastAsia="宋体" w:cs="宋体"/>
          <w:color w:val="auto"/>
          <w:sz w:val="21"/>
          <w:szCs w:val="21"/>
          <w:shd w:val="clear" w:color="auto" w:fill="FFFFFF"/>
          <w:lang w:val="en-US" w:eastAsia="zh-CN"/>
        </w:rPr>
        <w:t>）中的</w:t>
      </w:r>
      <w:r>
        <w:rPr>
          <w:rFonts w:hint="eastAsia" w:ascii="宋体" w:hAnsi="宋体" w:eastAsia="宋体" w:cs="宋体"/>
          <w:color w:val="auto"/>
          <w:sz w:val="21"/>
          <w:szCs w:val="21"/>
          <w:shd w:val="clear" w:color="auto" w:fill="FFFFFF"/>
        </w:rPr>
        <w:t>喷淋标志</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lang w:val="en-US" w:eastAsia="zh-CN"/>
        </w:rPr>
        <w:t>洗眼标志图案，确定了本标准使用的</w:t>
      </w:r>
      <w:r>
        <w:rPr>
          <w:rFonts w:hint="eastAsia" w:ascii="宋体" w:hAnsi="宋体" w:eastAsia="宋体" w:cs="宋体"/>
          <w:color w:val="auto"/>
          <w:sz w:val="21"/>
          <w:szCs w:val="21"/>
          <w:shd w:val="clear" w:color="auto" w:fill="FFFFFF"/>
        </w:rPr>
        <w:t>喷淋标志</w:t>
      </w:r>
      <w:r>
        <w:rPr>
          <w:rFonts w:hint="eastAsia" w:ascii="宋体" w:hAnsi="宋体" w:eastAsia="宋体"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lang w:val="en-US" w:eastAsia="zh-CN"/>
        </w:rPr>
        <w:t>洗眼标志图案。</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主要试验或验证的分析报告</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本标准制定主要的试验有安装后运行试验、使用性能试验。</w:t>
      </w:r>
      <w:bookmarkStart w:id="5" w:name="_Toc29341"/>
      <w:bookmarkStart w:id="6" w:name="_Toc25423"/>
      <w:bookmarkStart w:id="7" w:name="_Toc3088"/>
      <w:bookmarkStart w:id="8" w:name="_Toc3987"/>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1、应急喷淋器</w:t>
      </w:r>
      <w:bookmarkEnd w:id="5"/>
      <w:bookmarkEnd w:id="6"/>
      <w:bookmarkEnd w:id="7"/>
      <w:bookmarkEnd w:id="8"/>
      <w:r>
        <w:rPr>
          <w:rFonts w:hint="eastAsia" w:ascii="宋体" w:hAnsi="宋体" w:eastAsia="宋体" w:cs="宋体"/>
          <w:color w:val="auto"/>
          <w:sz w:val="21"/>
          <w:szCs w:val="21"/>
        </w:rPr>
        <w:t>安装后的运行试验：</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1） 将设备连接到冲洗液的供应源头上，水流压力最低值应为</w:t>
      </w:r>
      <w:r>
        <w:rPr>
          <w:rFonts w:hint="eastAsia" w:ascii="宋体" w:hAnsi="宋体" w:eastAsia="宋体" w:cs="宋体"/>
          <w:color w:val="auto"/>
          <w:sz w:val="21"/>
          <w:szCs w:val="21"/>
          <w:lang w:bidi="en-US"/>
        </w:rPr>
        <w:t>0.2 MPa。</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2）用流量计或其他方法测最冲洗液流量，当使用流量计时，将流量计连接到设备上，流量计计量单位为升。</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3） 阀门关闭时，目测连接部位是否有泄漏。</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4） 打开设备阀门</w:t>
      </w:r>
      <w:r>
        <w:rPr>
          <w:rFonts w:hint="eastAsia" w:ascii="宋体" w:hAnsi="宋体" w:eastAsia="宋体" w:cs="宋体"/>
          <w:color w:val="auto"/>
          <w:sz w:val="21"/>
          <w:szCs w:val="21"/>
          <w:lang w:val="zh-CN" w:bidi="zh-CN"/>
        </w:rPr>
        <w:t>，用</w:t>
      </w:r>
      <w:r>
        <w:rPr>
          <w:rFonts w:hint="eastAsia" w:ascii="宋体" w:hAnsi="宋体" w:eastAsia="宋体" w:cs="宋体"/>
          <w:color w:val="auto"/>
          <w:sz w:val="21"/>
          <w:szCs w:val="21"/>
        </w:rPr>
        <w:t>秒表或其他方法测量阀门打开时间，目测阀口是否始终保持开启</w:t>
      </w:r>
      <w:r>
        <w:rPr>
          <w:rFonts w:hint="eastAsia" w:ascii="宋体" w:hAnsi="宋体" w:eastAsia="宋体" w:cs="宋体"/>
          <w:color w:val="auto"/>
          <w:sz w:val="21"/>
          <w:szCs w:val="21"/>
          <w:lang w:val="zh-CN" w:bidi="zh-CN"/>
        </w:rPr>
        <w:t>状态。</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5） 测量冲洗液流量，测试应持续15</w:t>
      </w:r>
      <w:r>
        <w:rPr>
          <w:rFonts w:hint="eastAsia" w:ascii="宋体" w:hAnsi="宋体" w:eastAsia="宋体" w:cs="宋体"/>
          <w:color w:val="auto"/>
          <w:sz w:val="21"/>
          <w:szCs w:val="21"/>
          <w:lang w:bidi="en-US"/>
        </w:rPr>
        <w:t>分钟</w:t>
      </w:r>
      <w:r>
        <w:rPr>
          <w:rFonts w:hint="eastAsia" w:ascii="宋体" w:hAnsi="宋体" w:eastAsia="宋体" w:cs="宋体"/>
          <w:color w:val="auto"/>
          <w:sz w:val="21"/>
          <w:szCs w:val="21"/>
        </w:rPr>
        <w:t>，每3</w:t>
      </w:r>
      <w:r>
        <w:rPr>
          <w:rFonts w:hint="eastAsia" w:ascii="宋体" w:hAnsi="宋体" w:eastAsia="宋体" w:cs="宋体"/>
          <w:color w:val="auto"/>
          <w:sz w:val="21"/>
          <w:szCs w:val="21"/>
          <w:lang w:bidi="en-US"/>
        </w:rPr>
        <w:t>分钟</w:t>
      </w:r>
      <w:r>
        <w:rPr>
          <w:rFonts w:hint="eastAsia" w:ascii="宋体" w:hAnsi="宋体" w:eastAsia="宋体" w:cs="宋体"/>
          <w:color w:val="auto"/>
          <w:sz w:val="21"/>
          <w:szCs w:val="21"/>
        </w:rPr>
        <w:t>记录一次，取最小值。</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6） 测量喷头喷水的高度，从使用者站立的平面开始计算。</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7） 在距离使用者站立平面1520 </w:t>
      </w:r>
      <w:r>
        <w:rPr>
          <w:rFonts w:hint="eastAsia" w:ascii="宋体" w:hAnsi="宋体" w:eastAsia="宋体" w:cs="宋体"/>
          <w:color w:val="auto"/>
          <w:sz w:val="21"/>
          <w:szCs w:val="21"/>
          <w:lang w:bidi="en-US"/>
        </w:rPr>
        <w:t>mm</w:t>
      </w:r>
      <w:r>
        <w:rPr>
          <w:rFonts w:hint="eastAsia" w:ascii="宋体" w:hAnsi="宋体" w:eastAsia="宋体" w:cs="宋体"/>
          <w:color w:val="auto"/>
          <w:sz w:val="21"/>
          <w:szCs w:val="21"/>
        </w:rPr>
        <w:t>的地方，测量喷淋范围直径是否为510mm。</w:t>
      </w:r>
    </w:p>
    <w:p>
      <w:pPr>
        <w:pStyle w:val="22"/>
        <w:spacing w:beforeLines="50" w:afterLines="50" w:line="280" w:lineRule="exact"/>
        <w:jc w:val="left"/>
        <w:rPr>
          <w:rFonts w:hint="eastAsia" w:ascii="宋体" w:hAnsi="宋体" w:eastAsia="宋体" w:cs="宋体"/>
          <w:color w:val="auto"/>
          <w:sz w:val="21"/>
          <w:szCs w:val="21"/>
          <w:lang w:val="zh-CN" w:bidi="zh-CN"/>
        </w:rPr>
      </w:pPr>
      <w:r>
        <w:rPr>
          <w:rFonts w:hint="eastAsia" w:ascii="宋体" w:hAnsi="宋体" w:eastAsia="宋体" w:cs="宋体"/>
          <w:color w:val="auto"/>
          <w:sz w:val="21"/>
          <w:szCs w:val="21"/>
        </w:rPr>
        <w:t>8） 目测冲洗液分散形式是否始终保持一致并充分散</w:t>
      </w:r>
      <w:r>
        <w:rPr>
          <w:rFonts w:hint="eastAsia" w:ascii="宋体" w:hAnsi="宋体" w:eastAsia="宋体" w:cs="宋体"/>
          <w:color w:val="auto"/>
          <w:sz w:val="21"/>
          <w:szCs w:val="21"/>
          <w:lang w:val="zh-CN" w:bidi="zh-CN"/>
        </w:rPr>
        <w:t>开。</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9） 测量喷淋范围中心与任何障碍物之间的距离，取最小值，应不小于410mm。</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10） 测量阀门驱动装置的高度，从使用者站立的平面开始计算。</w:t>
      </w:r>
    </w:p>
    <w:p>
      <w:pPr>
        <w:pStyle w:val="22"/>
        <w:spacing w:beforeLines="50" w:afterLines="50" w:line="280" w:lineRule="exact"/>
        <w:jc w:val="left"/>
        <w:rPr>
          <w:rFonts w:hint="eastAsia" w:ascii="宋体" w:hAnsi="宋体" w:eastAsia="宋体" w:cs="宋体"/>
          <w:color w:val="auto"/>
          <w:sz w:val="21"/>
          <w:szCs w:val="21"/>
        </w:rPr>
      </w:pPr>
      <w:r>
        <w:rPr>
          <w:rFonts w:hint="eastAsia" w:ascii="宋体" w:hAnsi="宋体" w:eastAsia="宋体" w:cs="宋体"/>
          <w:color w:val="auto"/>
          <w:sz w:val="21"/>
          <w:szCs w:val="21"/>
        </w:rPr>
        <w:t>11） 目测冲洗液是否存在浑浊、杂质或其他肉眼可见物，嗅水的气味是否存在臭味或异味。</w:t>
      </w:r>
    </w:p>
    <w:p>
      <w:pPr>
        <w:pStyle w:val="22"/>
        <w:spacing w:beforeLines="50" w:afterLines="50" w:line="280" w:lineRule="exact"/>
        <w:jc w:val="left"/>
        <w:rPr>
          <w:rFonts w:hint="eastAsia" w:ascii="宋体" w:hAnsi="宋体" w:eastAsia="宋体" w:cs="宋体"/>
          <w:color w:val="auto"/>
          <w:sz w:val="21"/>
          <w:szCs w:val="21"/>
          <w:lang w:val="zh-CN"/>
        </w:rPr>
      </w:pPr>
      <w:r>
        <w:rPr>
          <w:rFonts w:hint="eastAsia" w:ascii="宋体" w:hAnsi="宋体" w:eastAsia="宋体" w:cs="宋体"/>
          <w:color w:val="auto"/>
          <w:sz w:val="21"/>
          <w:szCs w:val="21"/>
        </w:rPr>
        <w:t>12） 目测应急喷淋器一旦启动后是否不需要使用者再次手动操作就可以</w:t>
      </w:r>
      <w:r>
        <w:rPr>
          <w:rFonts w:hint="eastAsia" w:ascii="宋体" w:hAnsi="宋体" w:eastAsia="宋体" w:cs="宋体"/>
          <w:color w:val="auto"/>
          <w:sz w:val="21"/>
          <w:szCs w:val="21"/>
          <w:lang w:val="zh-CN"/>
        </w:rPr>
        <w:t>使用。</w:t>
      </w:r>
    </w:p>
    <w:p>
      <w:pPr>
        <w:pStyle w:val="22"/>
        <w:spacing w:beforeLines="50" w:afterLines="50" w:line="280" w:lineRule="exact"/>
        <w:jc w:val="left"/>
        <w:rPr>
          <w:rFonts w:hint="eastAsia" w:ascii="宋体" w:hAnsi="宋体" w:eastAsia="宋体" w:cs="宋体"/>
          <w:color w:val="auto"/>
          <w:sz w:val="21"/>
          <w:szCs w:val="21"/>
          <w:lang w:val="zh-CN" w:bidi="zh-CN"/>
        </w:rPr>
      </w:pPr>
      <w:r>
        <w:rPr>
          <w:rFonts w:hint="eastAsia" w:ascii="宋体" w:hAnsi="宋体" w:eastAsia="宋体" w:cs="宋体"/>
          <w:color w:val="auto"/>
          <w:sz w:val="21"/>
          <w:szCs w:val="21"/>
        </w:rPr>
        <w:t>13） 若设备配有报者装置，宜在开启阀门后检测报警装置的可</w:t>
      </w:r>
      <w:r>
        <w:rPr>
          <w:rFonts w:hint="eastAsia" w:ascii="宋体" w:hAnsi="宋体" w:eastAsia="宋体" w:cs="宋体"/>
          <w:color w:val="auto"/>
          <w:sz w:val="21"/>
          <w:szCs w:val="21"/>
          <w:lang w:val="zh-CN" w:bidi="zh-CN"/>
        </w:rPr>
        <w:t>靠性。</w:t>
      </w:r>
    </w:p>
    <w:p>
      <w:pPr>
        <w:pStyle w:val="22"/>
        <w:spacing w:line="360" w:lineRule="auto"/>
        <w:ind w:firstLine="0" w:firstLineChars="0"/>
        <w:rPr>
          <w:rFonts w:hint="eastAsia" w:ascii="宋体" w:hAnsi="宋体" w:eastAsia="宋体" w:cs="宋体"/>
          <w:color w:val="auto"/>
          <w:sz w:val="21"/>
          <w:szCs w:val="21"/>
        </w:rPr>
      </w:pPr>
      <w:bookmarkStart w:id="9" w:name="_Toc24933"/>
      <w:bookmarkStart w:id="10" w:name="_Toc15312"/>
      <w:bookmarkStart w:id="11" w:name="_Toc10311"/>
      <w:bookmarkStart w:id="12" w:name="_Toc18167"/>
      <w:r>
        <w:rPr>
          <w:rFonts w:hint="eastAsia" w:ascii="宋体" w:hAnsi="宋体" w:eastAsia="宋体" w:cs="宋体"/>
          <w:color w:val="auto"/>
          <w:sz w:val="21"/>
          <w:szCs w:val="21"/>
        </w:rPr>
        <w:t>2、洗眼/洗脸器</w:t>
      </w:r>
      <w:bookmarkEnd w:id="9"/>
      <w:bookmarkEnd w:id="10"/>
      <w:bookmarkEnd w:id="11"/>
      <w:bookmarkEnd w:id="12"/>
      <w:r>
        <w:rPr>
          <w:rFonts w:hint="eastAsia" w:ascii="宋体" w:hAnsi="宋体" w:eastAsia="宋体" w:cs="宋体"/>
          <w:color w:val="auto"/>
          <w:sz w:val="21"/>
          <w:szCs w:val="21"/>
        </w:rPr>
        <w:t>安装后的运行试验：</w:t>
      </w:r>
    </w:p>
    <w:p>
      <w:pPr>
        <w:pStyle w:val="22"/>
        <w:spacing w:line="360" w:lineRule="auto"/>
        <w:ind w:firstLine="315" w:firstLineChars="150"/>
        <w:rPr>
          <w:rFonts w:hint="eastAsia" w:ascii="宋体" w:hAnsi="宋体" w:eastAsia="宋体" w:cs="宋体"/>
          <w:color w:val="auto"/>
          <w:sz w:val="21"/>
          <w:szCs w:val="21"/>
          <w:lang w:bidi="en-US"/>
        </w:rPr>
      </w:pPr>
      <w:r>
        <w:rPr>
          <w:rFonts w:hint="eastAsia" w:ascii="宋体" w:hAnsi="宋体" w:eastAsia="宋体" w:cs="宋体"/>
          <w:color w:val="auto"/>
          <w:sz w:val="21"/>
          <w:szCs w:val="21"/>
        </w:rPr>
        <w:t>1）将设备连接到冲洗液的供应源头上，水流压力最低值应为</w:t>
      </w:r>
      <w:r>
        <w:rPr>
          <w:rFonts w:hint="eastAsia" w:ascii="宋体" w:hAnsi="宋体" w:eastAsia="宋体" w:cs="宋体"/>
          <w:b/>
          <w:bCs/>
          <w:color w:val="auto"/>
          <w:sz w:val="21"/>
          <w:szCs w:val="21"/>
          <w:lang w:bidi="en-US"/>
        </w:rPr>
        <w:t>0.2 MPa</w:t>
      </w:r>
      <w:r>
        <w:rPr>
          <w:rFonts w:hint="eastAsia" w:ascii="宋体" w:hAnsi="宋体" w:eastAsia="宋体" w:cs="宋体"/>
          <w:color w:val="auto"/>
          <w:sz w:val="21"/>
          <w:szCs w:val="21"/>
          <w:lang w:bidi="en-US"/>
        </w:rPr>
        <w:t>。</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2）用流量计或其他方法测最冲洗液流量，当使用流量计时，将流量计连接到设备上，流量计计量单位为升。</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3）阀门关闭时，目测连接部位是否有泄漏。</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4）目测喷头是否有防护</w:t>
      </w:r>
      <w:r>
        <w:rPr>
          <w:rFonts w:hint="eastAsia" w:ascii="宋体" w:hAnsi="宋体" w:eastAsia="宋体" w:cs="宋体"/>
          <w:color w:val="auto"/>
          <w:sz w:val="21"/>
          <w:szCs w:val="21"/>
          <w:lang w:val="zh-CN" w:bidi="zh-CN"/>
        </w:rPr>
        <w:t>装置。</w:t>
      </w:r>
      <w:r>
        <w:rPr>
          <w:rFonts w:hint="eastAsia" w:ascii="宋体" w:hAnsi="宋体" w:eastAsia="宋体" w:cs="宋体"/>
          <w:color w:val="auto"/>
          <w:sz w:val="21"/>
          <w:szCs w:val="21"/>
        </w:rPr>
        <w:t>开启洗眼器，目测是否不需要将防护装置取下。</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5）目测冲洗液是否存在浑浊、杂质或其他肉眼可见物,嗅水的气味是否存在臭味或异味。</w:t>
      </w:r>
    </w:p>
    <w:p>
      <w:pPr>
        <w:pStyle w:val="22"/>
        <w:spacing w:line="360" w:lineRule="auto"/>
        <w:ind w:firstLine="315" w:firstLineChars="150"/>
        <w:rPr>
          <w:rFonts w:hint="eastAsia" w:ascii="宋体" w:hAnsi="宋体" w:eastAsia="宋体" w:cs="宋体"/>
          <w:color w:val="auto"/>
          <w:sz w:val="21"/>
          <w:szCs w:val="21"/>
          <w:lang w:val="zh-CN" w:bidi="zh-CN"/>
        </w:rPr>
      </w:pPr>
      <w:r>
        <w:rPr>
          <w:rFonts w:hint="eastAsia" w:ascii="宋体" w:hAnsi="宋体" w:eastAsia="宋体" w:cs="宋体"/>
          <w:color w:val="auto"/>
          <w:sz w:val="21"/>
          <w:szCs w:val="21"/>
        </w:rPr>
        <w:t>6）目测洗眼器一旦启动后是否不需要再次手动操作就可以</w:t>
      </w:r>
      <w:r>
        <w:rPr>
          <w:rFonts w:hint="eastAsia" w:ascii="宋体" w:hAnsi="宋体" w:eastAsia="宋体" w:cs="宋体"/>
          <w:color w:val="auto"/>
          <w:sz w:val="21"/>
          <w:szCs w:val="21"/>
          <w:lang w:val="zh-CN" w:bidi="zh-CN"/>
        </w:rPr>
        <w:t>使用。</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7）打开设备阀门，用秒表或其他方法测量阀门打开时间，目测阀门是否始终保持开启状态。</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8）测量冲洗液流量，测试应持续15 </w:t>
      </w:r>
      <w:r>
        <w:rPr>
          <w:rFonts w:hint="eastAsia" w:ascii="宋体" w:hAnsi="宋体" w:eastAsia="宋体" w:cs="宋体"/>
          <w:color w:val="auto"/>
          <w:sz w:val="21"/>
          <w:szCs w:val="21"/>
          <w:lang w:bidi="en-US"/>
        </w:rPr>
        <w:t>分钟，</w:t>
      </w:r>
      <w:r>
        <w:rPr>
          <w:rFonts w:hint="eastAsia" w:ascii="宋体" w:hAnsi="宋体" w:eastAsia="宋体" w:cs="宋体"/>
          <w:color w:val="auto"/>
          <w:sz w:val="21"/>
          <w:szCs w:val="21"/>
        </w:rPr>
        <w:t>每3</w:t>
      </w:r>
      <w:r>
        <w:rPr>
          <w:rFonts w:hint="eastAsia" w:ascii="宋体" w:hAnsi="宋体" w:eastAsia="宋体" w:cs="宋体"/>
          <w:color w:val="auto"/>
          <w:sz w:val="21"/>
          <w:szCs w:val="21"/>
          <w:lang w:bidi="en-US"/>
        </w:rPr>
        <w:t>分钟</w:t>
      </w:r>
      <w:r>
        <w:rPr>
          <w:rFonts w:hint="eastAsia" w:ascii="宋体" w:hAnsi="宋体" w:eastAsia="宋体" w:cs="宋体"/>
          <w:color w:val="auto"/>
          <w:sz w:val="21"/>
          <w:szCs w:val="21"/>
        </w:rPr>
        <w:t>记录一次，取最小值。</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9）测量喷头高度，从使用者站立的平面开始计算。</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lang w:bidi="en-US"/>
        </w:rPr>
        <w:t>10）</w:t>
      </w:r>
      <w:r>
        <w:rPr>
          <w:rFonts w:hint="eastAsia" w:ascii="宋体" w:hAnsi="宋体" w:eastAsia="宋体" w:cs="宋体"/>
          <w:color w:val="auto"/>
          <w:sz w:val="21"/>
          <w:szCs w:val="21"/>
        </w:rPr>
        <w:t>测量喷头与任何障碍物之间的距离，取最小值。</w:t>
      </w:r>
    </w:p>
    <w:p>
      <w:pPr>
        <w:pStyle w:val="22"/>
        <w:spacing w:line="360" w:lineRule="auto"/>
        <w:ind w:firstLine="315" w:firstLineChars="150"/>
        <w:rPr>
          <w:rFonts w:hint="eastAsia" w:ascii="宋体" w:hAnsi="宋体" w:eastAsia="宋体" w:cs="宋体"/>
          <w:color w:val="auto"/>
          <w:sz w:val="21"/>
          <w:szCs w:val="21"/>
          <w:lang w:val="zh-CN" w:bidi="zh-CN"/>
        </w:rPr>
      </w:pPr>
      <w:r>
        <w:rPr>
          <w:rFonts w:hint="eastAsia" w:ascii="宋体" w:hAnsi="宋体" w:eastAsia="宋体" w:cs="宋体"/>
          <w:color w:val="auto"/>
          <w:sz w:val="21"/>
          <w:szCs w:val="21"/>
          <w:lang w:bidi="en-US"/>
        </w:rPr>
        <w:t>11）</w:t>
      </w:r>
      <w:r>
        <w:rPr>
          <w:rFonts w:hint="eastAsia" w:ascii="宋体" w:hAnsi="宋体" w:eastAsia="宋体" w:cs="宋体"/>
          <w:color w:val="auto"/>
          <w:sz w:val="21"/>
          <w:szCs w:val="21"/>
        </w:rPr>
        <w:t>用标准尺测量洗眼</w:t>
      </w:r>
      <w:r>
        <w:rPr>
          <w:rFonts w:hint="eastAsia" w:ascii="宋体" w:hAnsi="宋体" w:eastAsia="宋体" w:cs="宋体"/>
          <w:color w:val="auto"/>
          <w:sz w:val="21"/>
          <w:szCs w:val="21"/>
          <w:lang w:val="zh-CN" w:bidi="zh-CN"/>
        </w:rPr>
        <w:t>水流。</w:t>
      </w:r>
    </w:p>
    <w:p>
      <w:pPr>
        <w:pStyle w:val="22"/>
        <w:spacing w:line="360" w:lineRule="auto"/>
        <w:ind w:firstLine="315" w:firstLineChars="150"/>
        <w:rPr>
          <w:rFonts w:hint="eastAsia" w:ascii="宋体" w:hAnsi="宋体" w:eastAsia="宋体" w:cs="宋体"/>
          <w:color w:val="auto"/>
          <w:sz w:val="21"/>
          <w:szCs w:val="21"/>
          <w:lang w:val="zh-CN" w:bidi="zh-CN"/>
        </w:rPr>
      </w:pPr>
      <w:r>
        <w:rPr>
          <w:rFonts w:hint="eastAsia" w:ascii="宋体" w:hAnsi="宋体" w:eastAsia="宋体" w:cs="宋体"/>
          <w:color w:val="auto"/>
          <w:sz w:val="21"/>
          <w:szCs w:val="21"/>
          <w:lang w:bidi="zh-CN"/>
        </w:rPr>
        <w:t>12）</w:t>
      </w:r>
      <w:r>
        <w:rPr>
          <w:rFonts w:hint="eastAsia" w:ascii="宋体" w:hAnsi="宋体" w:eastAsia="宋体" w:cs="宋体"/>
          <w:color w:val="auto"/>
          <w:sz w:val="21"/>
          <w:szCs w:val="21"/>
        </w:rPr>
        <w:t>若设备配有报者装置，宜在开启阀门后检测报警装置的可</w:t>
      </w:r>
      <w:r>
        <w:rPr>
          <w:rFonts w:hint="eastAsia" w:ascii="宋体" w:hAnsi="宋体" w:eastAsia="宋体" w:cs="宋体"/>
          <w:color w:val="auto"/>
          <w:sz w:val="21"/>
          <w:szCs w:val="21"/>
          <w:lang w:val="zh-CN" w:bidi="zh-CN"/>
        </w:rPr>
        <w:t>靠性。</w:t>
      </w:r>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3、自容式洗眼/洗脸器安装后的运行试验:</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lang w:bidi="en-US"/>
        </w:rPr>
        <w:t>1）</w:t>
      </w:r>
      <w:r>
        <w:rPr>
          <w:rFonts w:hint="eastAsia" w:ascii="宋体" w:hAnsi="宋体" w:eastAsia="宋体" w:cs="宋体"/>
          <w:color w:val="auto"/>
          <w:sz w:val="21"/>
          <w:szCs w:val="21"/>
        </w:rPr>
        <w:t>用秒表或其他方法测量阀门驱动装置打开至冲洗液自动喷出的时间。</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2）用秒表或其他方法测试冲洗液的持续使用时间。</w:t>
      </w:r>
    </w:p>
    <w:p>
      <w:pPr>
        <w:pStyle w:val="22"/>
        <w:spacing w:line="360" w:lineRule="auto"/>
        <w:ind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3）用流量计或其他方法测量冲洗液流量，从阀门完全打开开始测试，测试应持续15 </w:t>
      </w:r>
      <w:r>
        <w:rPr>
          <w:rFonts w:hint="eastAsia" w:ascii="宋体" w:hAnsi="宋体" w:eastAsia="宋体" w:cs="宋体"/>
          <w:color w:val="auto"/>
          <w:sz w:val="21"/>
          <w:szCs w:val="21"/>
          <w:lang w:bidi="en-US"/>
        </w:rPr>
        <w:t>分钟</w:t>
      </w:r>
      <w:r>
        <w:rPr>
          <w:rFonts w:hint="eastAsia" w:ascii="宋体" w:hAnsi="宋体" w:eastAsia="宋体" w:cs="宋体"/>
          <w:color w:val="auto"/>
          <w:sz w:val="21"/>
          <w:szCs w:val="21"/>
          <w:lang w:val="zh-CN" w:bidi="zh-CN"/>
        </w:rPr>
        <w:t xml:space="preserve">，每 </w:t>
      </w:r>
      <w:r>
        <w:rPr>
          <w:rFonts w:hint="eastAsia" w:ascii="宋体" w:hAnsi="宋体" w:eastAsia="宋体" w:cs="宋体"/>
          <w:color w:val="auto"/>
          <w:sz w:val="21"/>
          <w:szCs w:val="21"/>
        </w:rPr>
        <w:t xml:space="preserve">3 </w:t>
      </w:r>
      <w:r>
        <w:rPr>
          <w:rFonts w:hint="eastAsia" w:ascii="宋体" w:hAnsi="宋体" w:eastAsia="宋体" w:cs="宋体"/>
          <w:color w:val="auto"/>
          <w:sz w:val="21"/>
          <w:szCs w:val="21"/>
          <w:lang w:bidi="en-US"/>
        </w:rPr>
        <w:t>分钟</w:t>
      </w:r>
      <w:r>
        <w:rPr>
          <w:rFonts w:hint="eastAsia" w:ascii="宋体" w:hAnsi="宋体" w:eastAsia="宋体" w:cs="宋体"/>
          <w:color w:val="auto"/>
          <w:sz w:val="21"/>
          <w:szCs w:val="21"/>
        </w:rPr>
        <w:t>记录一次，取最小值。</w:t>
      </w:r>
    </w:p>
    <w:p>
      <w:pPr>
        <w:pStyle w:val="22"/>
        <w:spacing w:line="360" w:lineRule="auto"/>
        <w:ind w:firstLine="0" w:firstLineChars="0"/>
        <w:rPr>
          <w:rFonts w:hint="eastAsia" w:ascii="宋体" w:hAnsi="宋体" w:eastAsia="宋体" w:cs="宋体"/>
          <w:color w:val="auto"/>
          <w:sz w:val="21"/>
          <w:szCs w:val="21"/>
        </w:rPr>
      </w:pPr>
      <w:bookmarkStart w:id="13" w:name="_Toc6599"/>
      <w:bookmarkStart w:id="14" w:name="_Toc19619"/>
      <w:bookmarkStart w:id="15" w:name="_Toc12905"/>
      <w:bookmarkStart w:id="16" w:name="_Toc9265"/>
      <w:r>
        <w:rPr>
          <w:rFonts w:hint="eastAsia" w:ascii="宋体" w:hAnsi="宋体" w:eastAsia="宋体" w:cs="宋体"/>
          <w:color w:val="auto"/>
          <w:sz w:val="21"/>
          <w:szCs w:val="21"/>
        </w:rPr>
        <w:t>4、复合式装置</w:t>
      </w:r>
      <w:bookmarkEnd w:id="13"/>
      <w:bookmarkEnd w:id="14"/>
      <w:bookmarkEnd w:id="15"/>
      <w:bookmarkEnd w:id="16"/>
      <w:r>
        <w:rPr>
          <w:rFonts w:hint="eastAsia" w:ascii="宋体" w:hAnsi="宋体" w:eastAsia="宋体" w:cs="宋体"/>
          <w:color w:val="auto"/>
          <w:sz w:val="21"/>
          <w:szCs w:val="21"/>
        </w:rPr>
        <w:t>安装后的运行试验:</w:t>
      </w:r>
    </w:p>
    <w:p>
      <w:pPr>
        <w:pStyle w:val="63"/>
        <w:spacing w:beforeLines="35" w:afterLines="35" w:line="300" w:lineRule="atLeast"/>
        <w:ind w:firstLine="420" w:firstLineChars="20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复合式装置中的应急喷淋器、洗眼器、洗眼/洗脸器在单独使用或同时使用时</w:t>
      </w:r>
      <w:r>
        <w:rPr>
          <w:rFonts w:hint="eastAsia" w:ascii="宋体" w:hAnsi="宋体" w:eastAsia="宋体" w:cs="宋体"/>
          <w:color w:val="auto"/>
          <w:sz w:val="21"/>
          <w:szCs w:val="21"/>
          <w:lang w:val="zh-CN" w:eastAsia="zh-CN" w:bidi="zh-CN"/>
        </w:rPr>
        <w:t>，执</w:t>
      </w:r>
      <w:r>
        <w:rPr>
          <w:rFonts w:hint="eastAsia" w:ascii="宋体" w:hAnsi="宋体" w:eastAsia="宋体" w:cs="宋体"/>
          <w:color w:val="auto"/>
          <w:sz w:val="21"/>
          <w:szCs w:val="21"/>
          <w:lang w:eastAsia="zh-CN"/>
        </w:rPr>
        <w:t>行以</w:t>
      </w:r>
      <w:r>
        <w:rPr>
          <w:rFonts w:hint="eastAsia" w:ascii="宋体" w:hAnsi="宋体" w:eastAsia="宋体" w:cs="宋体"/>
          <w:color w:val="auto"/>
          <w:sz w:val="21"/>
          <w:szCs w:val="21"/>
          <w:lang w:val="en-US" w:eastAsia="zh-CN"/>
        </w:rPr>
        <w:t>下</w:t>
      </w:r>
      <w:r>
        <w:rPr>
          <w:rFonts w:hint="eastAsia" w:ascii="宋体" w:hAnsi="宋体" w:eastAsia="宋体" w:cs="宋体"/>
          <w:color w:val="auto"/>
          <w:sz w:val="21"/>
          <w:szCs w:val="21"/>
          <w:lang w:eastAsia="zh-CN"/>
        </w:rPr>
        <w:t>试验方法：</w:t>
      </w:r>
    </w:p>
    <w:p>
      <w:pPr>
        <w:pStyle w:val="63"/>
        <w:tabs>
          <w:tab w:val="left" w:pos="1114"/>
        </w:tabs>
        <w:spacing w:beforeLines="35" w:afterLines="35" w:line="300" w:lineRule="atLeast"/>
        <w:ind w:firstLine="520"/>
        <w:jc w:val="left"/>
        <w:rPr>
          <w:rFonts w:hint="eastAsia" w:ascii="宋体" w:hAnsi="宋体" w:eastAsia="宋体" w:cs="宋体"/>
          <w:color w:val="auto"/>
          <w:sz w:val="21"/>
          <w:szCs w:val="21"/>
          <w:lang w:eastAsia="zh-CN"/>
        </w:rPr>
      </w:pPr>
      <w:bookmarkStart w:id="17" w:name="bookmark28"/>
      <w:r>
        <w:rPr>
          <w:rFonts w:hint="eastAsia" w:ascii="宋体" w:hAnsi="宋体" w:eastAsia="宋体" w:cs="宋体"/>
          <w:color w:val="auto"/>
          <w:sz w:val="21"/>
          <w:szCs w:val="21"/>
          <w:lang w:val="en-US" w:eastAsia="zh-CN" w:bidi="en-US"/>
        </w:rPr>
        <w:t>a</w:t>
      </w:r>
      <w:bookmarkEnd w:id="17"/>
      <w:r>
        <w:rPr>
          <w:rFonts w:hint="eastAsia" w:ascii="宋体" w:hAnsi="宋体" w:eastAsia="宋体" w:cs="宋体"/>
          <w:color w:val="auto"/>
          <w:sz w:val="21"/>
          <w:szCs w:val="21"/>
          <w:lang w:val="en-US" w:eastAsia="zh-CN" w:bidi="en-US"/>
        </w:rPr>
        <w:t>）</w:t>
      </w:r>
      <w:r>
        <w:rPr>
          <w:rFonts w:hint="eastAsia" w:ascii="宋体" w:hAnsi="宋体" w:eastAsia="宋体" w:cs="宋体"/>
          <w:color w:val="auto"/>
          <w:sz w:val="21"/>
          <w:szCs w:val="21"/>
          <w:lang w:eastAsia="zh-CN"/>
        </w:rPr>
        <w:t>应急喷淋器按</w:t>
      </w:r>
      <w:r>
        <w:rPr>
          <w:rFonts w:hint="eastAsia" w:ascii="宋体" w:hAnsi="宋体" w:eastAsia="宋体" w:cs="宋体"/>
          <w:color w:val="auto"/>
          <w:sz w:val="21"/>
          <w:szCs w:val="21"/>
          <w:lang w:val="en-US" w:eastAsia="zh-CN"/>
        </w:rPr>
        <w:t>上文所述</w:t>
      </w:r>
      <w:r>
        <w:rPr>
          <w:rFonts w:hint="eastAsia" w:ascii="宋体" w:hAnsi="宋体" w:eastAsia="宋体" w:cs="宋体"/>
          <w:color w:val="auto"/>
          <w:sz w:val="21"/>
          <w:szCs w:val="21"/>
          <w:lang w:eastAsia="zh-CN"/>
        </w:rPr>
        <w:t>应急喷淋器的</w:t>
      </w:r>
      <w:r>
        <w:rPr>
          <w:rFonts w:hint="eastAsia" w:ascii="宋体" w:hAnsi="宋体" w:eastAsia="宋体" w:cs="宋体"/>
          <w:color w:val="auto"/>
          <w:sz w:val="21"/>
          <w:szCs w:val="21"/>
          <w:lang w:val="en-US" w:eastAsia="zh-CN"/>
        </w:rPr>
        <w:t>试</w:t>
      </w:r>
      <w:r>
        <w:rPr>
          <w:rFonts w:hint="eastAsia" w:ascii="宋体" w:hAnsi="宋体" w:eastAsia="宋体" w:cs="宋体"/>
          <w:color w:val="auto"/>
          <w:sz w:val="21"/>
          <w:szCs w:val="21"/>
          <w:lang w:eastAsia="zh-CN"/>
        </w:rPr>
        <w:t>验方法进行；</w:t>
      </w:r>
    </w:p>
    <w:p>
      <w:pPr>
        <w:pStyle w:val="63"/>
        <w:tabs>
          <w:tab w:val="left" w:pos="1114"/>
        </w:tabs>
        <w:spacing w:beforeLines="35" w:afterLines="35" w:line="300" w:lineRule="atLeast"/>
        <w:ind w:firstLine="520"/>
        <w:jc w:val="left"/>
        <w:rPr>
          <w:rFonts w:hint="eastAsia" w:ascii="宋体" w:hAnsi="宋体" w:eastAsia="宋体" w:cs="宋体"/>
          <w:color w:val="auto"/>
          <w:sz w:val="21"/>
          <w:szCs w:val="21"/>
          <w:lang w:eastAsia="zh-CN"/>
        </w:rPr>
      </w:pPr>
      <w:bookmarkStart w:id="18" w:name="bookmark29"/>
      <w:r>
        <w:rPr>
          <w:rFonts w:hint="eastAsia" w:ascii="宋体" w:hAnsi="宋体" w:eastAsia="宋体" w:cs="宋体"/>
          <w:color w:val="auto"/>
          <w:sz w:val="21"/>
          <w:szCs w:val="21"/>
          <w:lang w:val="en-US" w:eastAsia="zh-CN" w:bidi="en-US"/>
        </w:rPr>
        <w:t>b</w:t>
      </w:r>
      <w:bookmarkEnd w:id="18"/>
      <w:r>
        <w:rPr>
          <w:rFonts w:hint="eastAsia" w:ascii="宋体" w:hAnsi="宋体" w:eastAsia="宋体" w:cs="宋体"/>
          <w:color w:val="auto"/>
          <w:sz w:val="21"/>
          <w:szCs w:val="21"/>
          <w:lang w:val="en-US" w:eastAsia="zh-CN" w:bidi="en-US"/>
        </w:rPr>
        <w:t>）</w:t>
      </w:r>
      <w:r>
        <w:rPr>
          <w:rFonts w:hint="eastAsia" w:ascii="宋体" w:hAnsi="宋体" w:eastAsia="宋体" w:cs="宋体"/>
          <w:color w:val="auto"/>
          <w:sz w:val="21"/>
          <w:szCs w:val="21"/>
          <w:lang w:eastAsia="zh-CN"/>
        </w:rPr>
        <w:t>洗眼器按</w:t>
      </w:r>
      <w:r>
        <w:rPr>
          <w:rFonts w:hint="eastAsia" w:ascii="宋体" w:hAnsi="宋体" w:eastAsia="宋体" w:cs="宋体"/>
          <w:color w:val="auto"/>
          <w:sz w:val="21"/>
          <w:szCs w:val="21"/>
          <w:lang w:val="en-US" w:eastAsia="zh-CN"/>
        </w:rPr>
        <w:t>上文所述</w:t>
      </w:r>
      <w:r>
        <w:rPr>
          <w:rFonts w:hint="eastAsia" w:ascii="宋体" w:hAnsi="宋体" w:eastAsia="宋体" w:cs="宋体"/>
          <w:color w:val="auto"/>
          <w:sz w:val="21"/>
          <w:szCs w:val="21"/>
          <w:lang w:eastAsia="zh-CN"/>
        </w:rPr>
        <w:t>洗眼器的试</w:t>
      </w:r>
      <w:r>
        <w:rPr>
          <w:rFonts w:hint="eastAsia" w:ascii="宋体" w:hAnsi="宋体" w:eastAsia="宋体" w:cs="宋体"/>
          <w:color w:val="auto"/>
          <w:sz w:val="21"/>
          <w:szCs w:val="21"/>
          <w:lang w:val="en-US" w:eastAsia="zh-CN"/>
        </w:rPr>
        <w:t>验</w:t>
      </w:r>
      <w:r>
        <w:rPr>
          <w:rFonts w:hint="eastAsia" w:ascii="宋体" w:hAnsi="宋体" w:eastAsia="宋体" w:cs="宋体"/>
          <w:color w:val="auto"/>
          <w:sz w:val="21"/>
          <w:szCs w:val="21"/>
          <w:lang w:eastAsia="zh-CN"/>
        </w:rPr>
        <w:t>方法进行；</w:t>
      </w:r>
    </w:p>
    <w:p>
      <w:pPr>
        <w:pStyle w:val="63"/>
        <w:tabs>
          <w:tab w:val="left" w:pos="1114"/>
        </w:tabs>
        <w:spacing w:beforeLines="35" w:afterLines="35" w:line="300" w:lineRule="atLeast"/>
        <w:ind w:firstLine="520"/>
        <w:rPr>
          <w:rFonts w:hint="eastAsia" w:ascii="宋体" w:hAnsi="宋体" w:eastAsia="宋体" w:cs="宋体"/>
          <w:color w:val="auto"/>
          <w:sz w:val="21"/>
          <w:szCs w:val="21"/>
          <w:lang w:eastAsia="zh-CN"/>
        </w:rPr>
      </w:pPr>
      <w:bookmarkStart w:id="19" w:name="bookmark30"/>
      <w:r>
        <w:rPr>
          <w:rFonts w:hint="eastAsia" w:ascii="宋体" w:hAnsi="宋体" w:eastAsia="宋体" w:cs="宋体"/>
          <w:color w:val="auto"/>
          <w:sz w:val="21"/>
          <w:szCs w:val="21"/>
          <w:lang w:val="en-US" w:eastAsia="zh-CN" w:bidi="en-US"/>
        </w:rPr>
        <w:t>c</w:t>
      </w:r>
      <w:bookmarkEnd w:id="19"/>
      <w:r>
        <w:rPr>
          <w:rFonts w:hint="eastAsia" w:ascii="宋体" w:hAnsi="宋体" w:eastAsia="宋体" w:cs="宋体"/>
          <w:color w:val="auto"/>
          <w:sz w:val="21"/>
          <w:szCs w:val="21"/>
          <w:lang w:val="en-US" w:eastAsia="zh-CN" w:bidi="en-US"/>
        </w:rPr>
        <w:t>）</w:t>
      </w:r>
      <w:r>
        <w:rPr>
          <w:rFonts w:hint="eastAsia" w:ascii="宋体" w:hAnsi="宋体" w:eastAsia="宋体" w:cs="宋体"/>
          <w:color w:val="auto"/>
          <w:sz w:val="21"/>
          <w:szCs w:val="21"/>
          <w:lang w:eastAsia="zh-CN"/>
        </w:rPr>
        <w:t>洗眼</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lang w:eastAsia="zh-CN"/>
        </w:rPr>
        <w:t>洗脸器按</w:t>
      </w:r>
      <w:r>
        <w:rPr>
          <w:rFonts w:hint="eastAsia" w:ascii="宋体" w:hAnsi="宋体" w:eastAsia="宋体" w:cs="宋体"/>
          <w:color w:val="auto"/>
          <w:sz w:val="21"/>
          <w:szCs w:val="21"/>
          <w:lang w:val="en-US" w:eastAsia="zh-CN"/>
        </w:rPr>
        <w:t>上文所述</w:t>
      </w:r>
      <w:r>
        <w:rPr>
          <w:rFonts w:hint="eastAsia" w:ascii="宋体" w:hAnsi="宋体" w:eastAsia="宋体" w:cs="宋体"/>
          <w:color w:val="auto"/>
          <w:sz w:val="21"/>
          <w:szCs w:val="21"/>
          <w:lang w:eastAsia="zh-CN"/>
        </w:rPr>
        <w:t>洗眼</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lang w:eastAsia="zh-CN"/>
        </w:rPr>
        <w:t>洗脸器的试验方法进行。</w:t>
      </w:r>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5、使用性能试验：</w:t>
      </w:r>
    </w:p>
    <w:p>
      <w:pPr>
        <w:ind w:firstLine="420" w:firstLineChars="200"/>
        <w:jc w:val="left"/>
        <w:rPr>
          <w:rFonts w:hint="eastAsia" w:ascii="宋体" w:hAnsi="宋体" w:eastAsia="宋体" w:cs="宋体"/>
          <w:color w:val="auto"/>
          <w:sz w:val="21"/>
          <w:szCs w:val="21"/>
          <w:lang w:val="zh-TW" w:eastAsia="zh-TW" w:bidi="zh-TW"/>
        </w:rPr>
      </w:pPr>
      <w:r>
        <w:rPr>
          <w:rFonts w:hint="eastAsia" w:ascii="宋体" w:hAnsi="宋体" w:eastAsia="宋体" w:cs="宋体"/>
          <w:color w:val="auto"/>
          <w:sz w:val="21"/>
          <w:szCs w:val="21"/>
          <w:lang w:bidi="zh-TW"/>
        </w:rPr>
        <w:t>1）</w:t>
      </w:r>
      <w:r>
        <w:rPr>
          <w:rFonts w:hint="eastAsia" w:ascii="宋体" w:hAnsi="宋体" w:eastAsia="宋体" w:cs="宋体"/>
          <w:color w:val="auto"/>
          <w:sz w:val="21"/>
          <w:szCs w:val="21"/>
          <w:lang w:val="zh-TW" w:eastAsia="zh-TW" w:bidi="zh-TW"/>
        </w:rPr>
        <w:t>涂层附着强度试验</w:t>
      </w:r>
    </w:p>
    <w:p>
      <w:pPr>
        <w:spacing w:line="360" w:lineRule="auto"/>
        <w:ind w:firstLine="420" w:firstLineChars="200"/>
        <w:jc w:val="left"/>
        <w:rPr>
          <w:rFonts w:hint="eastAsia" w:ascii="宋体" w:hAnsi="宋体" w:eastAsia="宋体" w:cs="宋体"/>
          <w:color w:val="auto"/>
          <w:sz w:val="21"/>
          <w:szCs w:val="21"/>
          <w:lang w:val="zh-TW" w:bidi="zh-TW"/>
        </w:rPr>
      </w:pPr>
      <w:r>
        <w:rPr>
          <w:rFonts w:hint="eastAsia" w:ascii="宋体" w:hAnsi="宋体" w:eastAsia="宋体" w:cs="宋体"/>
          <w:color w:val="auto"/>
          <w:sz w:val="21"/>
          <w:szCs w:val="21"/>
          <w:shd w:val="clear" w:color="auto" w:fill="FFFFFF"/>
        </w:rPr>
        <w:t>按照GB/T 9286-1998规定的方法在</w:t>
      </w:r>
      <w:r>
        <w:rPr>
          <w:rFonts w:hint="eastAsia" w:ascii="宋体" w:hAnsi="宋体" w:eastAsia="宋体" w:cs="宋体"/>
          <w:color w:val="auto"/>
          <w:sz w:val="21"/>
          <w:szCs w:val="21"/>
        </w:rPr>
        <w:t>应急喷淋和洗眼设备</w:t>
      </w:r>
      <w:r>
        <w:rPr>
          <w:rFonts w:hint="eastAsia" w:ascii="宋体" w:hAnsi="宋体" w:eastAsia="宋体" w:cs="宋体"/>
          <w:color w:val="auto"/>
          <w:sz w:val="21"/>
          <w:szCs w:val="21"/>
          <w:shd w:val="clear" w:color="auto" w:fill="FFFFFF"/>
        </w:rPr>
        <w:t>上较平整的表面进行划格试验并分级</w:t>
      </w:r>
      <w:r>
        <w:rPr>
          <w:rFonts w:hint="eastAsia" w:ascii="宋体" w:hAnsi="宋体" w:eastAsia="宋体" w:cs="宋体"/>
          <w:color w:val="auto"/>
          <w:sz w:val="21"/>
          <w:szCs w:val="21"/>
          <w:lang w:val="zh-TW" w:bidi="zh-TW"/>
        </w:rPr>
        <w:t>。</w:t>
      </w:r>
    </w:p>
    <w:p>
      <w:pPr>
        <w:jc w:val="left"/>
        <w:rPr>
          <w:rFonts w:hint="eastAsia" w:ascii="宋体" w:hAnsi="宋体" w:eastAsia="宋体" w:cs="宋体"/>
          <w:color w:val="auto"/>
          <w:sz w:val="21"/>
          <w:szCs w:val="21"/>
          <w:lang w:val="zh-TW" w:bidi="zh-TW"/>
        </w:rPr>
      </w:pPr>
      <w:r>
        <w:rPr>
          <w:rFonts w:hint="eastAsia" w:ascii="宋体" w:hAnsi="宋体" w:eastAsia="宋体" w:cs="宋体"/>
          <w:color w:val="auto"/>
          <w:sz w:val="21"/>
          <w:szCs w:val="21"/>
          <w:lang w:bidi="zh-TW"/>
        </w:rPr>
        <w:t xml:space="preserve">    2）</w:t>
      </w:r>
      <w:r>
        <w:rPr>
          <w:rFonts w:hint="eastAsia" w:ascii="宋体" w:hAnsi="宋体" w:eastAsia="宋体" w:cs="宋体"/>
          <w:color w:val="auto"/>
          <w:sz w:val="21"/>
          <w:szCs w:val="21"/>
          <w:lang w:val="zh-TW" w:bidi="zh-TW"/>
        </w:rPr>
        <w:t>表面耐腐蚀性能试验</w:t>
      </w:r>
    </w:p>
    <w:p>
      <w:pPr>
        <w:spacing w:line="360" w:lineRule="auto"/>
        <w:ind w:firstLine="420" w:firstLineChars="200"/>
        <w:jc w:val="left"/>
        <w:rPr>
          <w:rFonts w:hint="eastAsia" w:ascii="宋体" w:hAnsi="宋体" w:eastAsia="宋体" w:cs="宋体"/>
          <w:color w:val="auto"/>
          <w:sz w:val="21"/>
          <w:szCs w:val="21"/>
          <w:lang w:val="zh-TW" w:bidi="zh-TW"/>
        </w:rPr>
      </w:pPr>
      <w:r>
        <w:rPr>
          <w:rFonts w:hint="eastAsia" w:ascii="宋体" w:hAnsi="宋体" w:eastAsia="宋体" w:cs="宋体"/>
          <w:color w:val="auto"/>
          <w:sz w:val="21"/>
          <w:szCs w:val="21"/>
        </w:rPr>
        <w:t>应急喷淋和洗眼设备</w:t>
      </w:r>
      <w:r>
        <w:rPr>
          <w:rFonts w:hint="eastAsia" w:ascii="宋体" w:hAnsi="宋体" w:eastAsia="宋体" w:cs="宋体"/>
          <w:color w:val="auto"/>
          <w:sz w:val="21"/>
          <w:szCs w:val="21"/>
          <w:shd w:val="clear" w:color="auto" w:fill="FFFFFF"/>
        </w:rPr>
        <w:t>按GB/T 10125—2012进行24 h乙酸盐雾试验，结果按GB/T 6461—2002标准进行评级。</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重大分歧意见的解决过程和结果</w:t>
      </w:r>
    </w:p>
    <w:p>
      <w:pPr>
        <w:pStyle w:val="22"/>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无</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与现行法律、法规、标准的关系</w:t>
      </w:r>
    </w:p>
    <w:tbl>
      <w:tblPr>
        <w:tblStyle w:val="15"/>
        <w:tblpPr w:leftFromText="180" w:rightFromText="180" w:vertAnchor="text" w:horzAnchor="page" w:tblpX="1623" w:tblpY="493"/>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95"/>
        <w:gridCol w:w="1664"/>
        <w:gridCol w:w="2911"/>
        <w:gridCol w:w="3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1664"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标准编号</w:t>
            </w:r>
          </w:p>
        </w:tc>
        <w:tc>
          <w:tcPr>
            <w:tcW w:w="2911"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标准名称</w:t>
            </w:r>
          </w:p>
        </w:tc>
        <w:tc>
          <w:tcPr>
            <w:tcW w:w="3888"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与本标准的关系分析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1664" w:type="dxa"/>
            <w:vAlign w:val="center"/>
          </w:tcPr>
          <w:p>
            <w:pPr>
              <w:pStyle w:val="22"/>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lang w:bidi="en-US"/>
              </w:rPr>
              <w:t>GB/T 38144.1—2019</w:t>
            </w:r>
          </w:p>
        </w:tc>
        <w:tc>
          <w:tcPr>
            <w:tcW w:w="2911" w:type="dxa"/>
            <w:vAlign w:val="center"/>
          </w:tcPr>
          <w:p>
            <w:pPr>
              <w:pStyle w:val="22"/>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lang w:bidi="en-US"/>
              </w:rPr>
              <w:t>眼面部防护 应急喷淋和洗眼设备 第1部分：技术要求</w:t>
            </w:r>
          </w:p>
        </w:tc>
        <w:tc>
          <w:tcPr>
            <w:tcW w:w="3888" w:type="dxa"/>
            <w:vAlign w:val="center"/>
          </w:tcPr>
          <w:p>
            <w:pPr>
              <w:pStyle w:val="22"/>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根据GB/T 38144.1—2019进行规定，本标准参考了应急和洗眼设备的参数规定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2</w:t>
            </w:r>
          </w:p>
        </w:tc>
        <w:tc>
          <w:tcPr>
            <w:tcW w:w="1664" w:type="dxa"/>
            <w:vAlign w:val="center"/>
          </w:tcPr>
          <w:p>
            <w:pPr>
              <w:pStyle w:val="22"/>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lang w:bidi="en-US"/>
              </w:rPr>
              <w:t>GB/T 38144.1—2019</w:t>
            </w:r>
          </w:p>
        </w:tc>
        <w:tc>
          <w:tcPr>
            <w:tcW w:w="2911" w:type="dxa"/>
            <w:vAlign w:val="center"/>
          </w:tcPr>
          <w:p>
            <w:pPr>
              <w:pStyle w:val="22"/>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lang w:bidi="en-US"/>
              </w:rPr>
              <w:t>眼面部防护 应急喷淋和洗眼设备 第2部分：使用指南</w:t>
            </w:r>
          </w:p>
        </w:tc>
        <w:tc>
          <w:tcPr>
            <w:tcW w:w="3888" w:type="dxa"/>
            <w:vAlign w:val="center"/>
          </w:tcPr>
          <w:p>
            <w:pPr>
              <w:pStyle w:val="22"/>
              <w:ind w:firstLine="0" w:firstLineChars="0"/>
              <w:jc w:val="left"/>
              <w:rPr>
                <w:rFonts w:hint="eastAsia" w:ascii="宋体" w:hAnsi="宋体" w:eastAsia="宋体" w:cs="宋体"/>
                <w:color w:val="auto"/>
                <w:sz w:val="18"/>
                <w:szCs w:val="18"/>
              </w:rPr>
            </w:pPr>
            <w:r>
              <w:rPr>
                <w:rFonts w:hint="eastAsia" w:ascii="宋体" w:hAnsi="宋体" w:eastAsia="宋体" w:cs="宋体"/>
                <w:color w:val="auto"/>
                <w:sz w:val="18"/>
                <w:szCs w:val="18"/>
              </w:rPr>
              <w:t>根据GB/T 38144.1—2019进行规定，本标准参考了应急和洗眼设备的选型原则、安装要求、使用方法、维护及人员培训。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3</w:t>
            </w:r>
          </w:p>
        </w:tc>
        <w:tc>
          <w:tcPr>
            <w:tcW w:w="1664"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GB/T 9286-1998</w:t>
            </w:r>
          </w:p>
        </w:tc>
        <w:tc>
          <w:tcPr>
            <w:tcW w:w="2911"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fldChar w:fldCharType="begin"/>
            </w:r>
            <w:r>
              <w:rPr>
                <w:rFonts w:hint="eastAsia" w:ascii="宋体" w:hAnsi="宋体" w:eastAsia="宋体" w:cs="宋体"/>
                <w:color w:val="auto"/>
                <w:sz w:val="18"/>
                <w:szCs w:val="18"/>
              </w:rPr>
              <w:instrText xml:space="preserve"> HYPERLINK "https://www.baidu.com/link?url=dsLEERsISBNJ7ymWsnSGdq3twNomWk5sSN_VFFMk4xWx42iOrybiX7wd4ksyZmbS1bKYdukbJ0_I2PE7nP66tK&amp;wd=&amp;eqid=941f729f004fed1e00000004609d1f2c" \t "https://www.baidu.com/_blank" </w:instrText>
            </w:r>
            <w:r>
              <w:rPr>
                <w:rFonts w:hint="eastAsia" w:ascii="宋体" w:hAnsi="宋体" w:eastAsia="宋体" w:cs="宋体"/>
                <w:color w:val="auto"/>
                <w:sz w:val="18"/>
                <w:szCs w:val="18"/>
              </w:rPr>
              <w:fldChar w:fldCharType="separate"/>
            </w:r>
            <w:r>
              <w:rPr>
                <w:rFonts w:hint="eastAsia" w:ascii="宋体" w:hAnsi="宋体" w:eastAsia="宋体" w:cs="宋体"/>
                <w:color w:val="auto"/>
                <w:sz w:val="18"/>
                <w:szCs w:val="18"/>
              </w:rPr>
              <w:t>色漆和清漆-漆膜的划格试验</w:t>
            </w:r>
            <w:r>
              <w:rPr>
                <w:rFonts w:hint="eastAsia" w:ascii="宋体" w:hAnsi="宋体" w:eastAsia="宋体" w:cs="宋体"/>
                <w:color w:val="auto"/>
                <w:sz w:val="18"/>
                <w:szCs w:val="18"/>
              </w:rPr>
              <w:fldChar w:fldCharType="end"/>
            </w:r>
          </w:p>
        </w:tc>
        <w:tc>
          <w:tcPr>
            <w:tcW w:w="3888"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对需要进行涂层附着力试验的产品进行检测规定，本标准引用了其对涂层附着力进行的试验标准。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4</w:t>
            </w:r>
          </w:p>
        </w:tc>
        <w:tc>
          <w:tcPr>
            <w:tcW w:w="1664"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GB/T 10125-2012</w:t>
            </w:r>
          </w:p>
        </w:tc>
        <w:tc>
          <w:tcPr>
            <w:tcW w:w="2911"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人造气氛腐蚀试验盐雾试验</w:t>
            </w:r>
          </w:p>
        </w:tc>
        <w:tc>
          <w:tcPr>
            <w:tcW w:w="3888"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对需要进行盐雾试验的产品进行检测规定，本标准引用了其对金属件的试验标准。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 w:type="dxa"/>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5</w:t>
            </w:r>
          </w:p>
        </w:tc>
        <w:tc>
          <w:tcPr>
            <w:tcW w:w="1664"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 xml:space="preserve">BS EN ISO 7010:2020 </w:t>
            </w:r>
          </w:p>
        </w:tc>
        <w:tc>
          <w:tcPr>
            <w:tcW w:w="2911"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图形符号.安全颜色和安全标志</w:t>
            </w:r>
          </w:p>
        </w:tc>
        <w:tc>
          <w:tcPr>
            <w:tcW w:w="3888"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本标准参考了BS EN ISO 7010:2020 对洗眼、喷淋安全标志图案的规定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Align w:val="center"/>
          </w:tcPr>
          <w:p>
            <w:pPr>
              <w:pStyle w:val="22"/>
              <w:ind w:firstLine="0" w:firstLineChars="0"/>
              <w:jc w:val="center"/>
              <w:rPr>
                <w:rFonts w:hint="eastAsia" w:ascii="宋体" w:hAnsi="宋体" w:eastAsia="宋体" w:cs="宋体"/>
                <w:color w:val="auto"/>
                <w:sz w:val="18"/>
                <w:szCs w:val="18"/>
              </w:rPr>
            </w:pPr>
            <w:r>
              <w:rPr>
                <w:rFonts w:hint="eastAsia" w:ascii="宋体" w:hAnsi="宋体" w:eastAsia="宋体" w:cs="宋体"/>
                <w:color w:val="auto"/>
                <w:sz w:val="18"/>
                <w:szCs w:val="18"/>
              </w:rPr>
              <w:t>6</w:t>
            </w:r>
          </w:p>
        </w:tc>
        <w:tc>
          <w:tcPr>
            <w:tcW w:w="0" w:type="auto"/>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 xml:space="preserve">GB/T 2893.5 </w:t>
            </w:r>
          </w:p>
        </w:tc>
        <w:tc>
          <w:tcPr>
            <w:tcW w:w="2911"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图形符号 安全色和安全标志 第5部分：安全标志使用原则与要求</w:t>
            </w:r>
          </w:p>
        </w:tc>
        <w:tc>
          <w:tcPr>
            <w:tcW w:w="3888" w:type="dxa"/>
            <w:vAlign w:val="center"/>
          </w:tcPr>
          <w:p>
            <w:pPr>
              <w:pStyle w:val="22"/>
              <w:ind w:firstLine="0" w:firstLineChars="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根据GB/T 2893.5 进行安全标志颜色的规定</w:t>
            </w:r>
          </w:p>
        </w:tc>
      </w:tr>
    </w:tbl>
    <w:p>
      <w:pPr>
        <w:pStyle w:val="22"/>
        <w:spacing w:line="360" w:lineRule="auto"/>
        <w:ind w:firstLine="0" w:firstLineChars="0"/>
        <w:rPr>
          <w:rFonts w:hint="eastAsia" w:ascii="宋体" w:hAnsi="宋体" w:eastAsia="宋体" w:cs="宋体"/>
          <w:color w:val="auto"/>
          <w:sz w:val="21"/>
          <w:szCs w:val="21"/>
        </w:rPr>
      </w:pPr>
    </w:p>
    <w:p>
      <w:pPr>
        <w:pStyle w:val="22"/>
        <w:keepNext w:val="0"/>
        <w:keepLines w:val="0"/>
        <w:pageBreakBefore w:val="0"/>
        <w:numPr>
          <w:numId w:val="0"/>
        </w:numPr>
        <w:kinsoku/>
        <w:wordWrap/>
        <w:overflowPunct/>
        <w:topLinePunct w:val="0"/>
        <w:bidi w:val="0"/>
        <w:adjustRightInd/>
        <w:snapToGrid/>
        <w:spacing w:line="360" w:lineRule="auto"/>
        <w:textAlignment w:val="auto"/>
        <w:rPr>
          <w:rFonts w:hint="eastAsia" w:ascii="黑体" w:hAnsi="黑体" w:eastAsia="黑体" w:cs="黑体"/>
          <w:b w:val="0"/>
          <w:bCs w:val="0"/>
          <w:color w:val="auto"/>
          <w:sz w:val="24"/>
          <w:szCs w:val="24"/>
          <w:lang w:eastAsia="zh-CN"/>
        </w:rPr>
      </w:pPr>
    </w:p>
    <w:p>
      <w:pPr>
        <w:pStyle w:val="22"/>
        <w:keepNext w:val="0"/>
        <w:keepLines w:val="0"/>
        <w:pageBreakBefore w:val="0"/>
        <w:numPr>
          <w:numId w:val="0"/>
        </w:numPr>
        <w:kinsoku/>
        <w:wordWrap/>
        <w:overflowPunct/>
        <w:topLinePunct w:val="0"/>
        <w:bidi w:val="0"/>
        <w:adjustRightInd/>
        <w:snapToGrid/>
        <w:spacing w:line="360" w:lineRule="auto"/>
        <w:textAlignment w:val="auto"/>
        <w:rPr>
          <w:rFonts w:hint="eastAsia" w:ascii="宋体" w:hAnsi="宋体" w:eastAsia="宋体" w:cs="宋体"/>
          <w:color w:val="auto"/>
          <w:sz w:val="21"/>
          <w:szCs w:val="21"/>
        </w:rPr>
      </w:pPr>
      <w:r>
        <w:rPr>
          <w:rFonts w:hint="eastAsia" w:ascii="黑体" w:hAnsi="黑体" w:eastAsia="黑体" w:cs="黑体"/>
          <w:b w:val="0"/>
          <w:bCs w:val="0"/>
          <w:color w:val="auto"/>
          <w:sz w:val="24"/>
          <w:szCs w:val="24"/>
          <w:lang w:eastAsia="zh-CN"/>
        </w:rPr>
        <w:t>八、实施标准的要求和措施建议</w:t>
      </w:r>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1、本标准应作为今后实验室用</w:t>
      </w:r>
      <w:r>
        <w:rPr>
          <w:rFonts w:hint="eastAsia" w:ascii="宋体" w:hAnsi="宋体" w:eastAsia="宋体" w:cs="宋体"/>
          <w:color w:val="auto"/>
          <w:kern w:val="2"/>
          <w:sz w:val="21"/>
          <w:szCs w:val="21"/>
          <w:lang w:val="en-US" w:eastAsia="zh-CN"/>
        </w:rPr>
        <w:t>应急喷淋与洗眼设备</w:t>
      </w:r>
      <w:r>
        <w:rPr>
          <w:rFonts w:hint="eastAsia" w:ascii="宋体" w:hAnsi="宋体" w:eastAsia="宋体" w:cs="宋体"/>
          <w:color w:val="auto"/>
          <w:sz w:val="21"/>
          <w:szCs w:val="21"/>
        </w:rPr>
        <w:t>生产、使用、测试的重要依据，并应纳入到相关文件中；</w:t>
      </w:r>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2、各单位在采用本标准时，以满足实际任务需求为主，可对标准内容进行适当裁剪。</w:t>
      </w:r>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3、建议直接公开发行，广泛宣传，可以将该标准直接发布在全国标准网上。</w:t>
      </w:r>
    </w:p>
    <w:p>
      <w:pPr>
        <w:pStyle w:val="22"/>
        <w:spacing w:line="360" w:lineRule="auto"/>
        <w:ind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4、 在本标准实施过程中，编制单位应随时收集用户意见，跟踪国际国外标准修订动态，本标准及时进行更新，包装国内标准的适用性、国内国际标准的一致性。</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修改或废止现行专项标准的建议</w:t>
      </w:r>
    </w:p>
    <w:p>
      <w:pPr>
        <w:pStyle w:val="22"/>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无</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标准发行范围和数量的建议</w:t>
      </w:r>
    </w:p>
    <w:p>
      <w:pPr>
        <w:pStyle w:val="22"/>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建议本标准在实验室专项领域的科研、生产、使用、培训、检验试验等范围内发行，重点包括下列几类约 XX 家单位：</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a）实验室</w:t>
      </w:r>
      <w:r>
        <w:rPr>
          <w:rFonts w:hint="eastAsia" w:ascii="宋体" w:hAnsi="宋体" w:eastAsia="宋体" w:cs="宋体"/>
          <w:color w:val="auto"/>
          <w:kern w:val="2"/>
          <w:sz w:val="21"/>
          <w:szCs w:val="21"/>
          <w:lang w:val="en-US" w:eastAsia="zh-CN"/>
        </w:rPr>
        <w:t>应急喷淋与洗眼设备</w:t>
      </w:r>
      <w:r>
        <w:rPr>
          <w:rFonts w:hint="eastAsia" w:ascii="宋体" w:hAnsi="宋体" w:eastAsia="宋体" w:cs="宋体"/>
          <w:color w:val="auto"/>
          <w:sz w:val="21"/>
          <w:szCs w:val="21"/>
        </w:rPr>
        <w:t>的生产厂商；</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b）此类产品的应用示范单位和企业；</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c）提供此类产品检测服务的检测机构；</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d）对此类产品提供相关认证的机构。</w:t>
      </w:r>
    </w:p>
    <w:p>
      <w:pPr>
        <w:pStyle w:val="22"/>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建议5年内发行数量 XXXX 份。</w:t>
      </w:r>
    </w:p>
    <w:p>
      <w:pPr>
        <w:pStyle w:val="22"/>
        <w:keepNext w:val="0"/>
        <w:keepLines w:val="0"/>
        <w:pageBreakBefore w:val="0"/>
        <w:numPr>
          <w:ilvl w:val="0"/>
          <w:numId w:val="2"/>
        </w:numPr>
        <w:kinsoku/>
        <w:wordWrap/>
        <w:overflowPunct/>
        <w:topLinePunct w:val="0"/>
        <w:bidi w:val="0"/>
        <w:adjustRightInd/>
        <w:snapToGrid/>
        <w:spacing w:line="360" w:lineRule="auto"/>
        <w:ind w:firstLine="0" w:firstLineChars="0"/>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其他需要说明的事项</w:t>
      </w:r>
    </w:p>
    <w:p>
      <w:pPr>
        <w:pStyle w:val="22"/>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无</w:t>
      </w:r>
    </w:p>
    <w:p>
      <w:pPr>
        <w:pStyle w:val="12"/>
        <w:ind w:left="720"/>
        <w:jc w:val="right"/>
        <w:rPr>
          <w:rFonts w:hint="eastAsia" w:ascii="宋体" w:hAnsi="宋体" w:eastAsia="宋体" w:cs="宋体"/>
          <w:color w:val="auto"/>
          <w:sz w:val="21"/>
          <w:szCs w:val="21"/>
        </w:rPr>
      </w:pPr>
    </w:p>
    <w:bookmarkEnd w:id="0"/>
    <w:p>
      <w:pPr>
        <w:pStyle w:val="12"/>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color w:val="auto"/>
          <w:sz w:val="21"/>
          <w:szCs w:val="21"/>
        </w:rPr>
      </w:pPr>
      <w:r>
        <w:rPr>
          <w:rFonts w:hint="eastAsia" w:cs="宋体"/>
          <w:color w:val="auto"/>
          <w:sz w:val="21"/>
          <w:szCs w:val="21"/>
          <w:lang w:eastAsia="zh-CN"/>
        </w:rPr>
        <w:t>《</w:t>
      </w:r>
      <w:r>
        <w:rPr>
          <w:rFonts w:hint="eastAsia" w:ascii="宋体" w:hAnsi="宋体" w:eastAsia="宋体" w:cs="宋体"/>
          <w:color w:val="auto"/>
          <w:sz w:val="21"/>
          <w:szCs w:val="21"/>
        </w:rPr>
        <w:t>实验室</w:t>
      </w:r>
      <w:r>
        <w:rPr>
          <w:rFonts w:hint="eastAsia" w:cs="宋体"/>
          <w:color w:val="auto"/>
          <w:sz w:val="21"/>
          <w:szCs w:val="21"/>
          <w:lang w:eastAsia="zh-CN"/>
        </w:rPr>
        <w:t>用水气配件技术规范》</w:t>
      </w:r>
      <w:r>
        <w:rPr>
          <w:rFonts w:hint="eastAsia" w:ascii="宋体" w:hAnsi="宋体" w:eastAsia="宋体" w:cs="宋体"/>
          <w:color w:val="auto"/>
          <w:sz w:val="21"/>
          <w:szCs w:val="21"/>
        </w:rPr>
        <w:t>编制组</w:t>
      </w:r>
    </w:p>
    <w:p>
      <w:pPr>
        <w:pStyle w:val="12"/>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202</w:t>
      </w:r>
      <w:r>
        <w:rPr>
          <w:rFonts w:hint="eastAsia" w:cs="宋体"/>
          <w:color w:val="auto"/>
          <w:sz w:val="21"/>
          <w:szCs w:val="21"/>
          <w:lang w:val="en-US" w:eastAsia="zh-CN"/>
        </w:rPr>
        <w:t>2</w:t>
      </w:r>
      <w:r>
        <w:rPr>
          <w:rFonts w:hint="eastAsia" w:ascii="宋体" w:hAnsi="宋体" w:eastAsia="宋体" w:cs="宋体"/>
          <w:color w:val="auto"/>
          <w:sz w:val="21"/>
          <w:szCs w:val="21"/>
        </w:rPr>
        <w:t xml:space="preserve">年 </w:t>
      </w:r>
      <w:r>
        <w:rPr>
          <w:rFonts w:hint="eastAsia" w:cs="宋体"/>
          <w:color w:val="auto"/>
          <w:sz w:val="21"/>
          <w:szCs w:val="21"/>
          <w:lang w:val="en-US" w:eastAsia="zh-CN"/>
        </w:rPr>
        <w:t>1</w:t>
      </w:r>
      <w:r>
        <w:rPr>
          <w:rFonts w:hint="eastAsia" w:ascii="宋体" w:hAnsi="宋体" w:eastAsia="宋体" w:cs="宋体"/>
          <w:color w:val="auto"/>
          <w:sz w:val="21"/>
          <w:szCs w:val="21"/>
        </w:rPr>
        <w:t xml:space="preserve"> 月 2</w:t>
      </w:r>
      <w:r>
        <w:rPr>
          <w:rFonts w:hint="eastAsia" w:cs="宋体"/>
          <w:color w:val="auto"/>
          <w:sz w:val="21"/>
          <w:szCs w:val="21"/>
          <w:lang w:val="en-US" w:eastAsia="zh-CN"/>
        </w:rPr>
        <w:t>0</w:t>
      </w:r>
      <w:r>
        <w:rPr>
          <w:rFonts w:hint="eastAsia" w:ascii="宋体" w:hAnsi="宋体" w:eastAsia="宋体" w:cs="宋体"/>
          <w:color w:val="auto"/>
          <w:sz w:val="21"/>
          <w:szCs w:val="21"/>
        </w:rPr>
        <w:t>日</w:t>
      </w:r>
    </w:p>
    <w:p>
      <w:pPr>
        <w:pStyle w:val="12"/>
        <w:wordWrap w:val="0"/>
        <w:ind w:left="720"/>
        <w:jc w:val="right"/>
        <w:rPr>
          <w:rFonts w:hint="eastAsia" w:ascii="宋体" w:hAnsi="宋体" w:eastAsia="宋体" w:cs="宋体"/>
          <w:color w:val="auto"/>
          <w:sz w:val="21"/>
          <w:szCs w:val="21"/>
        </w:rPr>
      </w:pPr>
    </w:p>
    <w:sectPr>
      <w:headerReference r:id="rId3" w:type="default"/>
      <w:footerReference r:id="rId4" w:type="default"/>
      <w:pgSz w:w="11906" w:h="16838"/>
      <w:pgMar w:top="1247" w:right="1417" w:bottom="1247" w:left="1417" w:header="1134" w:footer="1020" w:gutter="0"/>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AD03DF-F078-4B8B-88C0-9BB8FFF7630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36134"/>
    <w:multiLevelType w:val="singleLevel"/>
    <w:tmpl w:val="C8436134"/>
    <w:lvl w:ilvl="0" w:tentative="0">
      <w:start w:val="1"/>
      <w:numFmt w:val="chineseCounting"/>
      <w:suff w:val="nothing"/>
      <w:lvlText w:val="%1、"/>
      <w:lvlJc w:val="left"/>
      <w:rPr>
        <w:rFonts w:hint="eastAsia"/>
      </w:rPr>
    </w:lvl>
  </w:abstractNum>
  <w:abstractNum w:abstractNumId="1">
    <w:nsid w:val="C8A48211"/>
    <w:multiLevelType w:val="singleLevel"/>
    <w:tmpl w:val="C8A48211"/>
    <w:lvl w:ilvl="0" w:tentative="0">
      <w:start w:val="2"/>
      <w:numFmt w:val="decimal"/>
      <w:suff w:val="nothing"/>
      <w:lvlText w:val="%1）"/>
      <w:lvlJc w:val="left"/>
    </w:lvl>
  </w:abstractNum>
  <w:abstractNum w:abstractNumId="2">
    <w:nsid w:val="D4556C3F"/>
    <w:multiLevelType w:val="singleLevel"/>
    <w:tmpl w:val="D4556C3F"/>
    <w:lvl w:ilvl="0" w:tentative="0">
      <w:start w:val="4"/>
      <w:numFmt w:val="decimal"/>
      <w:suff w:val="nothing"/>
      <w:lvlText w:val="（%1）"/>
      <w:lvlJc w:val="left"/>
    </w:lvl>
  </w:abstractNum>
  <w:abstractNum w:abstractNumId="3">
    <w:nsid w:val="393CD1CE"/>
    <w:multiLevelType w:val="singleLevel"/>
    <w:tmpl w:val="393CD1CE"/>
    <w:lvl w:ilvl="0" w:tentative="0">
      <w:start w:val="1"/>
      <w:numFmt w:val="decimal"/>
      <w:suff w:val="nothing"/>
      <w:lvlText w:val="%1）"/>
      <w:lvlJc w:val="left"/>
    </w:lvl>
  </w:abstractNum>
  <w:abstractNum w:abstractNumId="4">
    <w:nsid w:val="5E1ED86D"/>
    <w:multiLevelType w:val="singleLevel"/>
    <w:tmpl w:val="5E1ED86D"/>
    <w:lvl w:ilvl="0" w:tentative="0">
      <w:start w:val="1"/>
      <w:numFmt w:val="decimal"/>
      <w:suff w:val="space"/>
      <w:lvlText w:val="%1."/>
      <w:lvlJc w:val="left"/>
    </w:lvl>
  </w:abstractNum>
  <w:abstractNum w:abstractNumId="5">
    <w:nsid w:val="657D3FBC"/>
    <w:multiLevelType w:val="multilevel"/>
    <w:tmpl w:val="657D3FBC"/>
    <w:lvl w:ilvl="0" w:tentative="0">
      <w:start w:val="1"/>
      <w:numFmt w:val="upperLetter"/>
      <w:pStyle w:val="2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78E"/>
    <w:rsid w:val="000008DD"/>
    <w:rsid w:val="00002290"/>
    <w:rsid w:val="000060DB"/>
    <w:rsid w:val="000063F5"/>
    <w:rsid w:val="00006A14"/>
    <w:rsid w:val="0001169F"/>
    <w:rsid w:val="0001211A"/>
    <w:rsid w:val="00014E88"/>
    <w:rsid w:val="00023E05"/>
    <w:rsid w:val="0002719A"/>
    <w:rsid w:val="000333A0"/>
    <w:rsid w:val="00033618"/>
    <w:rsid w:val="0003587B"/>
    <w:rsid w:val="0003598E"/>
    <w:rsid w:val="00036161"/>
    <w:rsid w:val="000369F6"/>
    <w:rsid w:val="00041C69"/>
    <w:rsid w:val="0004203F"/>
    <w:rsid w:val="0004334B"/>
    <w:rsid w:val="000433C1"/>
    <w:rsid w:val="00044935"/>
    <w:rsid w:val="00046B95"/>
    <w:rsid w:val="00046E0B"/>
    <w:rsid w:val="00047227"/>
    <w:rsid w:val="000478B0"/>
    <w:rsid w:val="00047E0E"/>
    <w:rsid w:val="0005005F"/>
    <w:rsid w:val="0005177B"/>
    <w:rsid w:val="00054911"/>
    <w:rsid w:val="00055772"/>
    <w:rsid w:val="00056371"/>
    <w:rsid w:val="00062984"/>
    <w:rsid w:val="00064341"/>
    <w:rsid w:val="000675D8"/>
    <w:rsid w:val="000778A1"/>
    <w:rsid w:val="000778A4"/>
    <w:rsid w:val="00080EE3"/>
    <w:rsid w:val="00085388"/>
    <w:rsid w:val="00090B16"/>
    <w:rsid w:val="00091383"/>
    <w:rsid w:val="00092570"/>
    <w:rsid w:val="00092D0B"/>
    <w:rsid w:val="000949CD"/>
    <w:rsid w:val="000A0739"/>
    <w:rsid w:val="000A0891"/>
    <w:rsid w:val="000B046E"/>
    <w:rsid w:val="000B2523"/>
    <w:rsid w:val="000B26EC"/>
    <w:rsid w:val="000B39B7"/>
    <w:rsid w:val="000B4E4D"/>
    <w:rsid w:val="000C2D80"/>
    <w:rsid w:val="000C3467"/>
    <w:rsid w:val="000C4405"/>
    <w:rsid w:val="000C46CE"/>
    <w:rsid w:val="000C50DB"/>
    <w:rsid w:val="000C5B24"/>
    <w:rsid w:val="000C632D"/>
    <w:rsid w:val="000C696E"/>
    <w:rsid w:val="000C6EAD"/>
    <w:rsid w:val="000C79F6"/>
    <w:rsid w:val="000D2B49"/>
    <w:rsid w:val="000D3375"/>
    <w:rsid w:val="000D367F"/>
    <w:rsid w:val="000D527B"/>
    <w:rsid w:val="000E2AA0"/>
    <w:rsid w:val="000E7AE0"/>
    <w:rsid w:val="000F10A9"/>
    <w:rsid w:val="000F4BED"/>
    <w:rsid w:val="000F6FF1"/>
    <w:rsid w:val="00100D30"/>
    <w:rsid w:val="001020E6"/>
    <w:rsid w:val="00102E3D"/>
    <w:rsid w:val="00104908"/>
    <w:rsid w:val="001061FD"/>
    <w:rsid w:val="00106EEC"/>
    <w:rsid w:val="00107688"/>
    <w:rsid w:val="00115B93"/>
    <w:rsid w:val="001162E2"/>
    <w:rsid w:val="00122602"/>
    <w:rsid w:val="001238EC"/>
    <w:rsid w:val="00123B18"/>
    <w:rsid w:val="00132201"/>
    <w:rsid w:val="00134BD3"/>
    <w:rsid w:val="00136059"/>
    <w:rsid w:val="001408D3"/>
    <w:rsid w:val="001440F6"/>
    <w:rsid w:val="00144F9D"/>
    <w:rsid w:val="00145CE8"/>
    <w:rsid w:val="00145F32"/>
    <w:rsid w:val="00153439"/>
    <w:rsid w:val="00156050"/>
    <w:rsid w:val="00157D2B"/>
    <w:rsid w:val="001600CA"/>
    <w:rsid w:val="00160912"/>
    <w:rsid w:val="00162C47"/>
    <w:rsid w:val="00163978"/>
    <w:rsid w:val="001639BC"/>
    <w:rsid w:val="00167CC8"/>
    <w:rsid w:val="0017272B"/>
    <w:rsid w:val="00174465"/>
    <w:rsid w:val="001755D3"/>
    <w:rsid w:val="00181E7B"/>
    <w:rsid w:val="001845CD"/>
    <w:rsid w:val="001849D6"/>
    <w:rsid w:val="0018694A"/>
    <w:rsid w:val="00191FBF"/>
    <w:rsid w:val="00195AC2"/>
    <w:rsid w:val="001A2755"/>
    <w:rsid w:val="001A529E"/>
    <w:rsid w:val="001B0B68"/>
    <w:rsid w:val="001B1B73"/>
    <w:rsid w:val="001B5B67"/>
    <w:rsid w:val="001B5DEF"/>
    <w:rsid w:val="001C010F"/>
    <w:rsid w:val="001C0C5D"/>
    <w:rsid w:val="001C1594"/>
    <w:rsid w:val="001C594D"/>
    <w:rsid w:val="001C7C4D"/>
    <w:rsid w:val="001D0FC7"/>
    <w:rsid w:val="001D4B39"/>
    <w:rsid w:val="001D5D53"/>
    <w:rsid w:val="001E0EC9"/>
    <w:rsid w:val="001E13D3"/>
    <w:rsid w:val="001E6407"/>
    <w:rsid w:val="001E652A"/>
    <w:rsid w:val="001E66CE"/>
    <w:rsid w:val="001E6F73"/>
    <w:rsid w:val="001E7299"/>
    <w:rsid w:val="001E741C"/>
    <w:rsid w:val="001F00B2"/>
    <w:rsid w:val="001F0217"/>
    <w:rsid w:val="001F0259"/>
    <w:rsid w:val="001F3E17"/>
    <w:rsid w:val="001F49D4"/>
    <w:rsid w:val="001F5226"/>
    <w:rsid w:val="001F6B7D"/>
    <w:rsid w:val="00201594"/>
    <w:rsid w:val="00201A98"/>
    <w:rsid w:val="00203216"/>
    <w:rsid w:val="002047E0"/>
    <w:rsid w:val="00204926"/>
    <w:rsid w:val="00212C3C"/>
    <w:rsid w:val="00213485"/>
    <w:rsid w:val="002161F6"/>
    <w:rsid w:val="00216AE9"/>
    <w:rsid w:val="00221673"/>
    <w:rsid w:val="00224770"/>
    <w:rsid w:val="00231209"/>
    <w:rsid w:val="00231262"/>
    <w:rsid w:val="002320D8"/>
    <w:rsid w:val="0023272C"/>
    <w:rsid w:val="0023411C"/>
    <w:rsid w:val="002365FC"/>
    <w:rsid w:val="002426AF"/>
    <w:rsid w:val="00243240"/>
    <w:rsid w:val="0024463C"/>
    <w:rsid w:val="0024754E"/>
    <w:rsid w:val="00247B9C"/>
    <w:rsid w:val="00251EA1"/>
    <w:rsid w:val="00254DDD"/>
    <w:rsid w:val="00257948"/>
    <w:rsid w:val="00261480"/>
    <w:rsid w:val="0026473F"/>
    <w:rsid w:val="00267DFF"/>
    <w:rsid w:val="00270643"/>
    <w:rsid w:val="00271EB4"/>
    <w:rsid w:val="002744AD"/>
    <w:rsid w:val="002776F7"/>
    <w:rsid w:val="00277A7D"/>
    <w:rsid w:val="0028058A"/>
    <w:rsid w:val="0028148C"/>
    <w:rsid w:val="00281981"/>
    <w:rsid w:val="00282ABA"/>
    <w:rsid w:val="00282D8D"/>
    <w:rsid w:val="0029428B"/>
    <w:rsid w:val="0029678A"/>
    <w:rsid w:val="00297581"/>
    <w:rsid w:val="002A2358"/>
    <w:rsid w:val="002A6BC4"/>
    <w:rsid w:val="002A6D00"/>
    <w:rsid w:val="002A7956"/>
    <w:rsid w:val="002C184D"/>
    <w:rsid w:val="002D0D87"/>
    <w:rsid w:val="002D1488"/>
    <w:rsid w:val="002D25FC"/>
    <w:rsid w:val="002D3866"/>
    <w:rsid w:val="002D5740"/>
    <w:rsid w:val="002D7291"/>
    <w:rsid w:val="002D7EFA"/>
    <w:rsid w:val="002E053E"/>
    <w:rsid w:val="002E15DE"/>
    <w:rsid w:val="002E4D5C"/>
    <w:rsid w:val="002E515F"/>
    <w:rsid w:val="002F0BC2"/>
    <w:rsid w:val="002F0C1A"/>
    <w:rsid w:val="002F25F3"/>
    <w:rsid w:val="002F2D7C"/>
    <w:rsid w:val="002F54D6"/>
    <w:rsid w:val="002F6299"/>
    <w:rsid w:val="002F6699"/>
    <w:rsid w:val="00305914"/>
    <w:rsid w:val="003118B7"/>
    <w:rsid w:val="00313E21"/>
    <w:rsid w:val="0032031E"/>
    <w:rsid w:val="00321EF9"/>
    <w:rsid w:val="0032263C"/>
    <w:rsid w:val="00324BF4"/>
    <w:rsid w:val="0032625B"/>
    <w:rsid w:val="00326905"/>
    <w:rsid w:val="00326B3C"/>
    <w:rsid w:val="0032764C"/>
    <w:rsid w:val="00334256"/>
    <w:rsid w:val="0033541B"/>
    <w:rsid w:val="00336F5C"/>
    <w:rsid w:val="00340066"/>
    <w:rsid w:val="00343B04"/>
    <w:rsid w:val="00343FA4"/>
    <w:rsid w:val="00344751"/>
    <w:rsid w:val="00351165"/>
    <w:rsid w:val="00356B44"/>
    <w:rsid w:val="00356FE6"/>
    <w:rsid w:val="00373118"/>
    <w:rsid w:val="00380950"/>
    <w:rsid w:val="00382A2B"/>
    <w:rsid w:val="0038311B"/>
    <w:rsid w:val="003838B0"/>
    <w:rsid w:val="00385E04"/>
    <w:rsid w:val="00385FF9"/>
    <w:rsid w:val="003900F3"/>
    <w:rsid w:val="00391174"/>
    <w:rsid w:val="00391F10"/>
    <w:rsid w:val="00394C55"/>
    <w:rsid w:val="00396E8A"/>
    <w:rsid w:val="00396F3D"/>
    <w:rsid w:val="003A1185"/>
    <w:rsid w:val="003A36F3"/>
    <w:rsid w:val="003A3B9E"/>
    <w:rsid w:val="003A5CF1"/>
    <w:rsid w:val="003A7F56"/>
    <w:rsid w:val="003A7F69"/>
    <w:rsid w:val="003B17D1"/>
    <w:rsid w:val="003B7C61"/>
    <w:rsid w:val="003C3819"/>
    <w:rsid w:val="003C7F17"/>
    <w:rsid w:val="003D37E0"/>
    <w:rsid w:val="003D4F9F"/>
    <w:rsid w:val="003D55F5"/>
    <w:rsid w:val="003D6C70"/>
    <w:rsid w:val="003E0A92"/>
    <w:rsid w:val="003E245D"/>
    <w:rsid w:val="003E366F"/>
    <w:rsid w:val="003E429A"/>
    <w:rsid w:val="003F2013"/>
    <w:rsid w:val="003F3AAC"/>
    <w:rsid w:val="003F5099"/>
    <w:rsid w:val="003F5616"/>
    <w:rsid w:val="00400C14"/>
    <w:rsid w:val="004031D4"/>
    <w:rsid w:val="00405AB2"/>
    <w:rsid w:val="004061F5"/>
    <w:rsid w:val="00410F48"/>
    <w:rsid w:val="00411560"/>
    <w:rsid w:val="00412BA0"/>
    <w:rsid w:val="00415AD6"/>
    <w:rsid w:val="004167DA"/>
    <w:rsid w:val="00417C27"/>
    <w:rsid w:val="00421CAC"/>
    <w:rsid w:val="004254F5"/>
    <w:rsid w:val="0042557C"/>
    <w:rsid w:val="0042674F"/>
    <w:rsid w:val="00431C23"/>
    <w:rsid w:val="00433AE2"/>
    <w:rsid w:val="00434C88"/>
    <w:rsid w:val="00435E64"/>
    <w:rsid w:val="004419A3"/>
    <w:rsid w:val="00441A80"/>
    <w:rsid w:val="00441DAA"/>
    <w:rsid w:val="00442DB8"/>
    <w:rsid w:val="00446413"/>
    <w:rsid w:val="00450E7B"/>
    <w:rsid w:val="00455F71"/>
    <w:rsid w:val="004566C1"/>
    <w:rsid w:val="00470B72"/>
    <w:rsid w:val="004711BA"/>
    <w:rsid w:val="004721E4"/>
    <w:rsid w:val="00472626"/>
    <w:rsid w:val="0047262F"/>
    <w:rsid w:val="0048215F"/>
    <w:rsid w:val="004825C3"/>
    <w:rsid w:val="00483F34"/>
    <w:rsid w:val="004901FA"/>
    <w:rsid w:val="0049105A"/>
    <w:rsid w:val="00491B1A"/>
    <w:rsid w:val="004925DA"/>
    <w:rsid w:val="0049478E"/>
    <w:rsid w:val="00494C10"/>
    <w:rsid w:val="00495E9A"/>
    <w:rsid w:val="00496D40"/>
    <w:rsid w:val="00496E6C"/>
    <w:rsid w:val="004976B0"/>
    <w:rsid w:val="004A1F25"/>
    <w:rsid w:val="004A290C"/>
    <w:rsid w:val="004A55BF"/>
    <w:rsid w:val="004B037E"/>
    <w:rsid w:val="004B0F00"/>
    <w:rsid w:val="004B196F"/>
    <w:rsid w:val="004B3B19"/>
    <w:rsid w:val="004B481F"/>
    <w:rsid w:val="004B4A1A"/>
    <w:rsid w:val="004B58AF"/>
    <w:rsid w:val="004C093A"/>
    <w:rsid w:val="004C13F5"/>
    <w:rsid w:val="004C2BE7"/>
    <w:rsid w:val="004C31E6"/>
    <w:rsid w:val="004C3A51"/>
    <w:rsid w:val="004D137D"/>
    <w:rsid w:val="004D4F87"/>
    <w:rsid w:val="004E2F46"/>
    <w:rsid w:val="004E5534"/>
    <w:rsid w:val="004E5EBC"/>
    <w:rsid w:val="004E6EDA"/>
    <w:rsid w:val="004F259E"/>
    <w:rsid w:val="004F5621"/>
    <w:rsid w:val="004F5898"/>
    <w:rsid w:val="004F6AF3"/>
    <w:rsid w:val="004F76D2"/>
    <w:rsid w:val="0050026C"/>
    <w:rsid w:val="005018D4"/>
    <w:rsid w:val="00501BE7"/>
    <w:rsid w:val="005040A9"/>
    <w:rsid w:val="0051250B"/>
    <w:rsid w:val="0051358B"/>
    <w:rsid w:val="005147F6"/>
    <w:rsid w:val="005149F1"/>
    <w:rsid w:val="00517E48"/>
    <w:rsid w:val="005203DE"/>
    <w:rsid w:val="00521D71"/>
    <w:rsid w:val="0052493C"/>
    <w:rsid w:val="00525F51"/>
    <w:rsid w:val="005271FD"/>
    <w:rsid w:val="005274A1"/>
    <w:rsid w:val="0053117A"/>
    <w:rsid w:val="00531645"/>
    <w:rsid w:val="00532C0C"/>
    <w:rsid w:val="00533EA7"/>
    <w:rsid w:val="00535065"/>
    <w:rsid w:val="00540197"/>
    <w:rsid w:val="005433C1"/>
    <w:rsid w:val="0054396F"/>
    <w:rsid w:val="00550A4F"/>
    <w:rsid w:val="00551578"/>
    <w:rsid w:val="00554137"/>
    <w:rsid w:val="0055585F"/>
    <w:rsid w:val="00566310"/>
    <w:rsid w:val="005711C8"/>
    <w:rsid w:val="005727CC"/>
    <w:rsid w:val="00582577"/>
    <w:rsid w:val="0058267F"/>
    <w:rsid w:val="00583855"/>
    <w:rsid w:val="00584D89"/>
    <w:rsid w:val="005875F7"/>
    <w:rsid w:val="00591098"/>
    <w:rsid w:val="00593C92"/>
    <w:rsid w:val="005949AB"/>
    <w:rsid w:val="005953BE"/>
    <w:rsid w:val="00597166"/>
    <w:rsid w:val="005A5AFA"/>
    <w:rsid w:val="005A6473"/>
    <w:rsid w:val="005A6496"/>
    <w:rsid w:val="005A7989"/>
    <w:rsid w:val="005B0CA7"/>
    <w:rsid w:val="005B28C1"/>
    <w:rsid w:val="005B320E"/>
    <w:rsid w:val="005B6A02"/>
    <w:rsid w:val="005C4186"/>
    <w:rsid w:val="005C70F0"/>
    <w:rsid w:val="005D000B"/>
    <w:rsid w:val="005D0ECA"/>
    <w:rsid w:val="005D2877"/>
    <w:rsid w:val="005D3C2E"/>
    <w:rsid w:val="005D4814"/>
    <w:rsid w:val="005D5541"/>
    <w:rsid w:val="005D69CB"/>
    <w:rsid w:val="005D7907"/>
    <w:rsid w:val="005E08C7"/>
    <w:rsid w:val="005E613D"/>
    <w:rsid w:val="005E6534"/>
    <w:rsid w:val="005E7682"/>
    <w:rsid w:val="005F067D"/>
    <w:rsid w:val="005F0930"/>
    <w:rsid w:val="00602AD1"/>
    <w:rsid w:val="00606360"/>
    <w:rsid w:val="006068C7"/>
    <w:rsid w:val="00607D35"/>
    <w:rsid w:val="00610E7E"/>
    <w:rsid w:val="00613688"/>
    <w:rsid w:val="00616D35"/>
    <w:rsid w:val="00621959"/>
    <w:rsid w:val="006269F3"/>
    <w:rsid w:val="00630672"/>
    <w:rsid w:val="00631D20"/>
    <w:rsid w:val="00633021"/>
    <w:rsid w:val="006348CE"/>
    <w:rsid w:val="00640743"/>
    <w:rsid w:val="006408FF"/>
    <w:rsid w:val="00640E51"/>
    <w:rsid w:val="0064326A"/>
    <w:rsid w:val="00643716"/>
    <w:rsid w:val="006439E0"/>
    <w:rsid w:val="006467D1"/>
    <w:rsid w:val="00647738"/>
    <w:rsid w:val="00647870"/>
    <w:rsid w:val="00650395"/>
    <w:rsid w:val="00651D6A"/>
    <w:rsid w:val="006579DF"/>
    <w:rsid w:val="006608CE"/>
    <w:rsid w:val="00662773"/>
    <w:rsid w:val="0066402E"/>
    <w:rsid w:val="0066515A"/>
    <w:rsid w:val="006675D0"/>
    <w:rsid w:val="00670E3F"/>
    <w:rsid w:val="00671627"/>
    <w:rsid w:val="00674A00"/>
    <w:rsid w:val="006752B9"/>
    <w:rsid w:val="00676B05"/>
    <w:rsid w:val="00677214"/>
    <w:rsid w:val="006772C2"/>
    <w:rsid w:val="00680AF2"/>
    <w:rsid w:val="00682A51"/>
    <w:rsid w:val="00686E1B"/>
    <w:rsid w:val="00694C50"/>
    <w:rsid w:val="00696E05"/>
    <w:rsid w:val="006A74F7"/>
    <w:rsid w:val="006B2468"/>
    <w:rsid w:val="006B2E1A"/>
    <w:rsid w:val="006B2F32"/>
    <w:rsid w:val="006C536E"/>
    <w:rsid w:val="006C583D"/>
    <w:rsid w:val="006D033D"/>
    <w:rsid w:val="006D1C35"/>
    <w:rsid w:val="006D2D36"/>
    <w:rsid w:val="006D5787"/>
    <w:rsid w:val="006E23CF"/>
    <w:rsid w:val="006F4314"/>
    <w:rsid w:val="00700558"/>
    <w:rsid w:val="0071253A"/>
    <w:rsid w:val="00713806"/>
    <w:rsid w:val="00713A80"/>
    <w:rsid w:val="007200D6"/>
    <w:rsid w:val="00722D34"/>
    <w:rsid w:val="00724691"/>
    <w:rsid w:val="0072472C"/>
    <w:rsid w:val="00725969"/>
    <w:rsid w:val="00727D74"/>
    <w:rsid w:val="0073282A"/>
    <w:rsid w:val="00734E32"/>
    <w:rsid w:val="0074184C"/>
    <w:rsid w:val="00743C30"/>
    <w:rsid w:val="0075645A"/>
    <w:rsid w:val="007618D1"/>
    <w:rsid w:val="00761ACD"/>
    <w:rsid w:val="00762201"/>
    <w:rsid w:val="00764F06"/>
    <w:rsid w:val="00766222"/>
    <w:rsid w:val="007677A5"/>
    <w:rsid w:val="00770EAA"/>
    <w:rsid w:val="00771985"/>
    <w:rsid w:val="0077365E"/>
    <w:rsid w:val="00775BC9"/>
    <w:rsid w:val="00775E11"/>
    <w:rsid w:val="0078196E"/>
    <w:rsid w:val="00782058"/>
    <w:rsid w:val="00782C5C"/>
    <w:rsid w:val="00785FB8"/>
    <w:rsid w:val="00790BB6"/>
    <w:rsid w:val="00790E89"/>
    <w:rsid w:val="00791948"/>
    <w:rsid w:val="00795EBD"/>
    <w:rsid w:val="00797846"/>
    <w:rsid w:val="007A492A"/>
    <w:rsid w:val="007A4A5A"/>
    <w:rsid w:val="007A7A99"/>
    <w:rsid w:val="007B019A"/>
    <w:rsid w:val="007B16AB"/>
    <w:rsid w:val="007B40BE"/>
    <w:rsid w:val="007B500D"/>
    <w:rsid w:val="007B6C57"/>
    <w:rsid w:val="007C1817"/>
    <w:rsid w:val="007C3971"/>
    <w:rsid w:val="007C7870"/>
    <w:rsid w:val="007D26D8"/>
    <w:rsid w:val="007E0B22"/>
    <w:rsid w:val="007E6970"/>
    <w:rsid w:val="007F33C7"/>
    <w:rsid w:val="007F37CB"/>
    <w:rsid w:val="007F3D05"/>
    <w:rsid w:val="007F5FA3"/>
    <w:rsid w:val="007F7CDB"/>
    <w:rsid w:val="00801677"/>
    <w:rsid w:val="008077F9"/>
    <w:rsid w:val="00807CB0"/>
    <w:rsid w:val="00814BB9"/>
    <w:rsid w:val="00814C83"/>
    <w:rsid w:val="00815A8B"/>
    <w:rsid w:val="008160C2"/>
    <w:rsid w:val="00816CA8"/>
    <w:rsid w:val="00817CBF"/>
    <w:rsid w:val="00817EDB"/>
    <w:rsid w:val="00823006"/>
    <w:rsid w:val="00823F00"/>
    <w:rsid w:val="0082437A"/>
    <w:rsid w:val="00847D08"/>
    <w:rsid w:val="00847EAC"/>
    <w:rsid w:val="00850E2D"/>
    <w:rsid w:val="00853065"/>
    <w:rsid w:val="0085672D"/>
    <w:rsid w:val="008574E3"/>
    <w:rsid w:val="008577D1"/>
    <w:rsid w:val="0086213B"/>
    <w:rsid w:val="008658A1"/>
    <w:rsid w:val="0086590A"/>
    <w:rsid w:val="00867023"/>
    <w:rsid w:val="00870597"/>
    <w:rsid w:val="008726FA"/>
    <w:rsid w:val="00873B92"/>
    <w:rsid w:val="00874EF4"/>
    <w:rsid w:val="008753C5"/>
    <w:rsid w:val="00876B6B"/>
    <w:rsid w:val="0088086F"/>
    <w:rsid w:val="0088372D"/>
    <w:rsid w:val="008840FB"/>
    <w:rsid w:val="00886DBB"/>
    <w:rsid w:val="008874ED"/>
    <w:rsid w:val="0089101F"/>
    <w:rsid w:val="008913D1"/>
    <w:rsid w:val="00891569"/>
    <w:rsid w:val="00893693"/>
    <w:rsid w:val="0089631E"/>
    <w:rsid w:val="0089710A"/>
    <w:rsid w:val="008A00C0"/>
    <w:rsid w:val="008B1B9E"/>
    <w:rsid w:val="008B4E8D"/>
    <w:rsid w:val="008B5CB8"/>
    <w:rsid w:val="008B70F6"/>
    <w:rsid w:val="008B7556"/>
    <w:rsid w:val="008B79AF"/>
    <w:rsid w:val="008C1C57"/>
    <w:rsid w:val="008C3CA3"/>
    <w:rsid w:val="008D208B"/>
    <w:rsid w:val="008D480E"/>
    <w:rsid w:val="008D53F4"/>
    <w:rsid w:val="008D645D"/>
    <w:rsid w:val="008D69AE"/>
    <w:rsid w:val="008E0087"/>
    <w:rsid w:val="008E24A3"/>
    <w:rsid w:val="008E66A9"/>
    <w:rsid w:val="008F3E6A"/>
    <w:rsid w:val="008F5A53"/>
    <w:rsid w:val="00902F1B"/>
    <w:rsid w:val="00903411"/>
    <w:rsid w:val="00906A43"/>
    <w:rsid w:val="0091338F"/>
    <w:rsid w:val="00913A99"/>
    <w:rsid w:val="00914776"/>
    <w:rsid w:val="00914CB3"/>
    <w:rsid w:val="009156C0"/>
    <w:rsid w:val="00916659"/>
    <w:rsid w:val="00917FA6"/>
    <w:rsid w:val="00922078"/>
    <w:rsid w:val="0092243F"/>
    <w:rsid w:val="00924036"/>
    <w:rsid w:val="0092768E"/>
    <w:rsid w:val="0092769E"/>
    <w:rsid w:val="00931C96"/>
    <w:rsid w:val="0093263B"/>
    <w:rsid w:val="00934E6B"/>
    <w:rsid w:val="00935BFC"/>
    <w:rsid w:val="00937C51"/>
    <w:rsid w:val="00952408"/>
    <w:rsid w:val="00952E79"/>
    <w:rsid w:val="00953686"/>
    <w:rsid w:val="00956A51"/>
    <w:rsid w:val="00961FEA"/>
    <w:rsid w:val="009622DB"/>
    <w:rsid w:val="00963992"/>
    <w:rsid w:val="00964CE9"/>
    <w:rsid w:val="009656E4"/>
    <w:rsid w:val="00972280"/>
    <w:rsid w:val="009743FE"/>
    <w:rsid w:val="00975C88"/>
    <w:rsid w:val="0098411E"/>
    <w:rsid w:val="0098688C"/>
    <w:rsid w:val="00986CAC"/>
    <w:rsid w:val="009A0F30"/>
    <w:rsid w:val="009A2FA4"/>
    <w:rsid w:val="009A37A8"/>
    <w:rsid w:val="009B3E89"/>
    <w:rsid w:val="009B4789"/>
    <w:rsid w:val="009B5123"/>
    <w:rsid w:val="009B779F"/>
    <w:rsid w:val="009C0D9F"/>
    <w:rsid w:val="009C2DCA"/>
    <w:rsid w:val="009C3C72"/>
    <w:rsid w:val="009C4602"/>
    <w:rsid w:val="009C475D"/>
    <w:rsid w:val="009D5397"/>
    <w:rsid w:val="009D55DE"/>
    <w:rsid w:val="009D6468"/>
    <w:rsid w:val="009E0121"/>
    <w:rsid w:val="009E104A"/>
    <w:rsid w:val="009E16C3"/>
    <w:rsid w:val="009E195C"/>
    <w:rsid w:val="009E3F53"/>
    <w:rsid w:val="009E66AB"/>
    <w:rsid w:val="009F0DFD"/>
    <w:rsid w:val="009F13B0"/>
    <w:rsid w:val="009F1417"/>
    <w:rsid w:val="009F261D"/>
    <w:rsid w:val="009F3452"/>
    <w:rsid w:val="009F5C4F"/>
    <w:rsid w:val="00A02F68"/>
    <w:rsid w:val="00A038B2"/>
    <w:rsid w:val="00A03CFB"/>
    <w:rsid w:val="00A04D53"/>
    <w:rsid w:val="00A14C1F"/>
    <w:rsid w:val="00A15580"/>
    <w:rsid w:val="00A2331C"/>
    <w:rsid w:val="00A33B2C"/>
    <w:rsid w:val="00A34AEC"/>
    <w:rsid w:val="00A40B88"/>
    <w:rsid w:val="00A417B2"/>
    <w:rsid w:val="00A452B3"/>
    <w:rsid w:val="00A503CC"/>
    <w:rsid w:val="00A50B3D"/>
    <w:rsid w:val="00A51F5E"/>
    <w:rsid w:val="00A52340"/>
    <w:rsid w:val="00A525F8"/>
    <w:rsid w:val="00A52FB3"/>
    <w:rsid w:val="00A53A41"/>
    <w:rsid w:val="00A54125"/>
    <w:rsid w:val="00A61768"/>
    <w:rsid w:val="00A627FE"/>
    <w:rsid w:val="00A65040"/>
    <w:rsid w:val="00A86305"/>
    <w:rsid w:val="00A9562E"/>
    <w:rsid w:val="00A96594"/>
    <w:rsid w:val="00AA164C"/>
    <w:rsid w:val="00AA1816"/>
    <w:rsid w:val="00AB0883"/>
    <w:rsid w:val="00AB184E"/>
    <w:rsid w:val="00AB2488"/>
    <w:rsid w:val="00AB3BB3"/>
    <w:rsid w:val="00AB509E"/>
    <w:rsid w:val="00AC1A13"/>
    <w:rsid w:val="00AC33A6"/>
    <w:rsid w:val="00AC4F66"/>
    <w:rsid w:val="00AC63DB"/>
    <w:rsid w:val="00AC643F"/>
    <w:rsid w:val="00AD058B"/>
    <w:rsid w:val="00AD11E3"/>
    <w:rsid w:val="00AD12A0"/>
    <w:rsid w:val="00AD279F"/>
    <w:rsid w:val="00AD28B6"/>
    <w:rsid w:val="00AE07B3"/>
    <w:rsid w:val="00AE26A3"/>
    <w:rsid w:val="00AE45A6"/>
    <w:rsid w:val="00AE4AD5"/>
    <w:rsid w:val="00AE57FE"/>
    <w:rsid w:val="00AE5D0C"/>
    <w:rsid w:val="00AF4EF9"/>
    <w:rsid w:val="00B003B7"/>
    <w:rsid w:val="00B03545"/>
    <w:rsid w:val="00B04F2C"/>
    <w:rsid w:val="00B05338"/>
    <w:rsid w:val="00B05901"/>
    <w:rsid w:val="00B05E02"/>
    <w:rsid w:val="00B07A51"/>
    <w:rsid w:val="00B07D99"/>
    <w:rsid w:val="00B103F2"/>
    <w:rsid w:val="00B10745"/>
    <w:rsid w:val="00B14840"/>
    <w:rsid w:val="00B14D1B"/>
    <w:rsid w:val="00B23FBE"/>
    <w:rsid w:val="00B24ED3"/>
    <w:rsid w:val="00B27CB8"/>
    <w:rsid w:val="00B361AB"/>
    <w:rsid w:val="00B365B0"/>
    <w:rsid w:val="00B37ED0"/>
    <w:rsid w:val="00B40B68"/>
    <w:rsid w:val="00B448CB"/>
    <w:rsid w:val="00B473E7"/>
    <w:rsid w:val="00B52255"/>
    <w:rsid w:val="00B56D46"/>
    <w:rsid w:val="00B57C5F"/>
    <w:rsid w:val="00B61C10"/>
    <w:rsid w:val="00B67BB5"/>
    <w:rsid w:val="00B7004F"/>
    <w:rsid w:val="00B71B96"/>
    <w:rsid w:val="00B75000"/>
    <w:rsid w:val="00B822B6"/>
    <w:rsid w:val="00B82A17"/>
    <w:rsid w:val="00B84AAF"/>
    <w:rsid w:val="00B85499"/>
    <w:rsid w:val="00B859D1"/>
    <w:rsid w:val="00B867E0"/>
    <w:rsid w:val="00B86D5F"/>
    <w:rsid w:val="00B930D5"/>
    <w:rsid w:val="00B93859"/>
    <w:rsid w:val="00B94009"/>
    <w:rsid w:val="00B9414C"/>
    <w:rsid w:val="00BA07F2"/>
    <w:rsid w:val="00BA5174"/>
    <w:rsid w:val="00BA71B2"/>
    <w:rsid w:val="00BB00C9"/>
    <w:rsid w:val="00BB6880"/>
    <w:rsid w:val="00BB71AA"/>
    <w:rsid w:val="00BC08A9"/>
    <w:rsid w:val="00BC1040"/>
    <w:rsid w:val="00BC400D"/>
    <w:rsid w:val="00BC47D8"/>
    <w:rsid w:val="00BC4A49"/>
    <w:rsid w:val="00BC7456"/>
    <w:rsid w:val="00BE366C"/>
    <w:rsid w:val="00BE399E"/>
    <w:rsid w:val="00BE3D98"/>
    <w:rsid w:val="00BE5687"/>
    <w:rsid w:val="00BE59EC"/>
    <w:rsid w:val="00BE7370"/>
    <w:rsid w:val="00BF0EAA"/>
    <w:rsid w:val="00BF3375"/>
    <w:rsid w:val="00BF431B"/>
    <w:rsid w:val="00BF5A1C"/>
    <w:rsid w:val="00BF5CA9"/>
    <w:rsid w:val="00BF5EB7"/>
    <w:rsid w:val="00BF76FF"/>
    <w:rsid w:val="00BF7A9A"/>
    <w:rsid w:val="00C00019"/>
    <w:rsid w:val="00C00C72"/>
    <w:rsid w:val="00C02357"/>
    <w:rsid w:val="00C0254D"/>
    <w:rsid w:val="00C02723"/>
    <w:rsid w:val="00C02734"/>
    <w:rsid w:val="00C029DB"/>
    <w:rsid w:val="00C03593"/>
    <w:rsid w:val="00C04575"/>
    <w:rsid w:val="00C06131"/>
    <w:rsid w:val="00C11814"/>
    <w:rsid w:val="00C12DED"/>
    <w:rsid w:val="00C12FF1"/>
    <w:rsid w:val="00C14514"/>
    <w:rsid w:val="00C15C0D"/>
    <w:rsid w:val="00C33B23"/>
    <w:rsid w:val="00C368C2"/>
    <w:rsid w:val="00C37BDC"/>
    <w:rsid w:val="00C37D46"/>
    <w:rsid w:val="00C44268"/>
    <w:rsid w:val="00C46253"/>
    <w:rsid w:val="00C4693F"/>
    <w:rsid w:val="00C47D91"/>
    <w:rsid w:val="00C47F51"/>
    <w:rsid w:val="00C501DB"/>
    <w:rsid w:val="00C5311C"/>
    <w:rsid w:val="00C55A03"/>
    <w:rsid w:val="00C6131D"/>
    <w:rsid w:val="00C63CEE"/>
    <w:rsid w:val="00C65A0E"/>
    <w:rsid w:val="00C66333"/>
    <w:rsid w:val="00C66D66"/>
    <w:rsid w:val="00C71E0A"/>
    <w:rsid w:val="00C723BC"/>
    <w:rsid w:val="00C72858"/>
    <w:rsid w:val="00C72AB0"/>
    <w:rsid w:val="00C7465D"/>
    <w:rsid w:val="00C81CD0"/>
    <w:rsid w:val="00C85897"/>
    <w:rsid w:val="00C87643"/>
    <w:rsid w:val="00C92CF7"/>
    <w:rsid w:val="00C971FC"/>
    <w:rsid w:val="00CA0D8F"/>
    <w:rsid w:val="00CA3AFF"/>
    <w:rsid w:val="00CA3DDB"/>
    <w:rsid w:val="00CA50F1"/>
    <w:rsid w:val="00CA62F9"/>
    <w:rsid w:val="00CB01DB"/>
    <w:rsid w:val="00CB03B1"/>
    <w:rsid w:val="00CB05DF"/>
    <w:rsid w:val="00CB2762"/>
    <w:rsid w:val="00CB4B56"/>
    <w:rsid w:val="00CB4E53"/>
    <w:rsid w:val="00CB5A8D"/>
    <w:rsid w:val="00CB7863"/>
    <w:rsid w:val="00CC02D1"/>
    <w:rsid w:val="00CC2059"/>
    <w:rsid w:val="00CC29B0"/>
    <w:rsid w:val="00CC3661"/>
    <w:rsid w:val="00CC46C3"/>
    <w:rsid w:val="00CD099B"/>
    <w:rsid w:val="00CD3DC3"/>
    <w:rsid w:val="00CD502D"/>
    <w:rsid w:val="00CD7003"/>
    <w:rsid w:val="00CE0D1D"/>
    <w:rsid w:val="00CE1493"/>
    <w:rsid w:val="00CE7F73"/>
    <w:rsid w:val="00CF01BB"/>
    <w:rsid w:val="00CF3842"/>
    <w:rsid w:val="00CF4244"/>
    <w:rsid w:val="00CF6CA2"/>
    <w:rsid w:val="00D0103B"/>
    <w:rsid w:val="00D043E1"/>
    <w:rsid w:val="00D05A25"/>
    <w:rsid w:val="00D05B51"/>
    <w:rsid w:val="00D132B3"/>
    <w:rsid w:val="00D227CC"/>
    <w:rsid w:val="00D22E85"/>
    <w:rsid w:val="00D24CF5"/>
    <w:rsid w:val="00D26360"/>
    <w:rsid w:val="00D267EE"/>
    <w:rsid w:val="00D26BE4"/>
    <w:rsid w:val="00D345C0"/>
    <w:rsid w:val="00D36252"/>
    <w:rsid w:val="00D41806"/>
    <w:rsid w:val="00D47AC3"/>
    <w:rsid w:val="00D542C2"/>
    <w:rsid w:val="00D54AF6"/>
    <w:rsid w:val="00D63AD4"/>
    <w:rsid w:val="00D63CB3"/>
    <w:rsid w:val="00D65366"/>
    <w:rsid w:val="00D67230"/>
    <w:rsid w:val="00D70590"/>
    <w:rsid w:val="00D71E7C"/>
    <w:rsid w:val="00D71EC9"/>
    <w:rsid w:val="00D732E6"/>
    <w:rsid w:val="00D7473B"/>
    <w:rsid w:val="00D7487A"/>
    <w:rsid w:val="00D75478"/>
    <w:rsid w:val="00D76D1A"/>
    <w:rsid w:val="00D7719B"/>
    <w:rsid w:val="00D815EB"/>
    <w:rsid w:val="00D83AF9"/>
    <w:rsid w:val="00D86BF5"/>
    <w:rsid w:val="00D8778E"/>
    <w:rsid w:val="00D908DD"/>
    <w:rsid w:val="00D920F9"/>
    <w:rsid w:val="00D9372B"/>
    <w:rsid w:val="00D945B1"/>
    <w:rsid w:val="00D973E5"/>
    <w:rsid w:val="00DA0750"/>
    <w:rsid w:val="00DA29D3"/>
    <w:rsid w:val="00DA3C72"/>
    <w:rsid w:val="00DA49B2"/>
    <w:rsid w:val="00DA51DF"/>
    <w:rsid w:val="00DA69F0"/>
    <w:rsid w:val="00DB0117"/>
    <w:rsid w:val="00DB3A68"/>
    <w:rsid w:val="00DB6BEC"/>
    <w:rsid w:val="00DC07F3"/>
    <w:rsid w:val="00DC4249"/>
    <w:rsid w:val="00DC5A40"/>
    <w:rsid w:val="00DC73D1"/>
    <w:rsid w:val="00DD5333"/>
    <w:rsid w:val="00DD79D9"/>
    <w:rsid w:val="00DE1229"/>
    <w:rsid w:val="00DE5786"/>
    <w:rsid w:val="00DE57D3"/>
    <w:rsid w:val="00DE6DAC"/>
    <w:rsid w:val="00DE7EFE"/>
    <w:rsid w:val="00DF0DE7"/>
    <w:rsid w:val="00DF0E27"/>
    <w:rsid w:val="00DF2427"/>
    <w:rsid w:val="00DF48BE"/>
    <w:rsid w:val="00DF5000"/>
    <w:rsid w:val="00DF5B65"/>
    <w:rsid w:val="00E02530"/>
    <w:rsid w:val="00E06486"/>
    <w:rsid w:val="00E07488"/>
    <w:rsid w:val="00E125E4"/>
    <w:rsid w:val="00E14C43"/>
    <w:rsid w:val="00E15B42"/>
    <w:rsid w:val="00E1607D"/>
    <w:rsid w:val="00E169E8"/>
    <w:rsid w:val="00E16A50"/>
    <w:rsid w:val="00E26232"/>
    <w:rsid w:val="00E302A1"/>
    <w:rsid w:val="00E31F7F"/>
    <w:rsid w:val="00E3252F"/>
    <w:rsid w:val="00E33AD8"/>
    <w:rsid w:val="00E34638"/>
    <w:rsid w:val="00E356EF"/>
    <w:rsid w:val="00E40D10"/>
    <w:rsid w:val="00E42794"/>
    <w:rsid w:val="00E44A9B"/>
    <w:rsid w:val="00E4605D"/>
    <w:rsid w:val="00E46BAD"/>
    <w:rsid w:val="00E47BBF"/>
    <w:rsid w:val="00E50B40"/>
    <w:rsid w:val="00E546E6"/>
    <w:rsid w:val="00E5640D"/>
    <w:rsid w:val="00E567EF"/>
    <w:rsid w:val="00E63E7F"/>
    <w:rsid w:val="00E63F5E"/>
    <w:rsid w:val="00E701AB"/>
    <w:rsid w:val="00E73149"/>
    <w:rsid w:val="00E734A6"/>
    <w:rsid w:val="00E7505E"/>
    <w:rsid w:val="00E75EFC"/>
    <w:rsid w:val="00E7694C"/>
    <w:rsid w:val="00E879F9"/>
    <w:rsid w:val="00EA11E2"/>
    <w:rsid w:val="00EA1310"/>
    <w:rsid w:val="00EA1CE1"/>
    <w:rsid w:val="00EA424E"/>
    <w:rsid w:val="00EA4C8F"/>
    <w:rsid w:val="00EA4F37"/>
    <w:rsid w:val="00EA5031"/>
    <w:rsid w:val="00EA5417"/>
    <w:rsid w:val="00EB2E75"/>
    <w:rsid w:val="00EB3A5A"/>
    <w:rsid w:val="00EB3CA2"/>
    <w:rsid w:val="00EB47BE"/>
    <w:rsid w:val="00EB523A"/>
    <w:rsid w:val="00EB5243"/>
    <w:rsid w:val="00EC228C"/>
    <w:rsid w:val="00EC408A"/>
    <w:rsid w:val="00EC43D4"/>
    <w:rsid w:val="00ED077D"/>
    <w:rsid w:val="00ED129C"/>
    <w:rsid w:val="00ED6954"/>
    <w:rsid w:val="00EF2EBD"/>
    <w:rsid w:val="00EF5482"/>
    <w:rsid w:val="00EF6967"/>
    <w:rsid w:val="00F0414E"/>
    <w:rsid w:val="00F100F7"/>
    <w:rsid w:val="00F10FED"/>
    <w:rsid w:val="00F12054"/>
    <w:rsid w:val="00F1336F"/>
    <w:rsid w:val="00F15B4F"/>
    <w:rsid w:val="00F17101"/>
    <w:rsid w:val="00F21E91"/>
    <w:rsid w:val="00F22226"/>
    <w:rsid w:val="00F26308"/>
    <w:rsid w:val="00F27E64"/>
    <w:rsid w:val="00F30B1F"/>
    <w:rsid w:val="00F32F27"/>
    <w:rsid w:val="00F338B4"/>
    <w:rsid w:val="00F34E5B"/>
    <w:rsid w:val="00F35E54"/>
    <w:rsid w:val="00F37C80"/>
    <w:rsid w:val="00F4098A"/>
    <w:rsid w:val="00F40BE6"/>
    <w:rsid w:val="00F40C72"/>
    <w:rsid w:val="00F41D37"/>
    <w:rsid w:val="00F45381"/>
    <w:rsid w:val="00F463F0"/>
    <w:rsid w:val="00F468A4"/>
    <w:rsid w:val="00F46FEA"/>
    <w:rsid w:val="00F47488"/>
    <w:rsid w:val="00F51121"/>
    <w:rsid w:val="00F54B8D"/>
    <w:rsid w:val="00F65FF5"/>
    <w:rsid w:val="00F66B65"/>
    <w:rsid w:val="00F67755"/>
    <w:rsid w:val="00F70A65"/>
    <w:rsid w:val="00F71E04"/>
    <w:rsid w:val="00F72586"/>
    <w:rsid w:val="00F72A39"/>
    <w:rsid w:val="00F72DF0"/>
    <w:rsid w:val="00F777A2"/>
    <w:rsid w:val="00F871AF"/>
    <w:rsid w:val="00F907A2"/>
    <w:rsid w:val="00F93552"/>
    <w:rsid w:val="00F97F4A"/>
    <w:rsid w:val="00FA0B3C"/>
    <w:rsid w:val="00FA3A60"/>
    <w:rsid w:val="00FB18CD"/>
    <w:rsid w:val="00FB2736"/>
    <w:rsid w:val="00FB3A81"/>
    <w:rsid w:val="00FC0071"/>
    <w:rsid w:val="00FC04C7"/>
    <w:rsid w:val="00FC28DF"/>
    <w:rsid w:val="00FC4E42"/>
    <w:rsid w:val="00FD395E"/>
    <w:rsid w:val="00FD4C3C"/>
    <w:rsid w:val="00FE3ABD"/>
    <w:rsid w:val="00FE4151"/>
    <w:rsid w:val="00FE50F3"/>
    <w:rsid w:val="00FE5C8F"/>
    <w:rsid w:val="00FE7EF6"/>
    <w:rsid w:val="00FF06C1"/>
    <w:rsid w:val="00FF54DB"/>
    <w:rsid w:val="00FF5F63"/>
    <w:rsid w:val="00FF780E"/>
    <w:rsid w:val="039F3FD7"/>
    <w:rsid w:val="03D474E7"/>
    <w:rsid w:val="05424F42"/>
    <w:rsid w:val="0707144F"/>
    <w:rsid w:val="09B71C93"/>
    <w:rsid w:val="0A2530C6"/>
    <w:rsid w:val="0BE809C0"/>
    <w:rsid w:val="0CA87808"/>
    <w:rsid w:val="12265C84"/>
    <w:rsid w:val="123828EF"/>
    <w:rsid w:val="12F86082"/>
    <w:rsid w:val="1578565C"/>
    <w:rsid w:val="17CB3B59"/>
    <w:rsid w:val="1A3A44DD"/>
    <w:rsid w:val="1D927BC0"/>
    <w:rsid w:val="1DDF7F69"/>
    <w:rsid w:val="21254E3E"/>
    <w:rsid w:val="293A5842"/>
    <w:rsid w:val="2C454AFB"/>
    <w:rsid w:val="2EAE5CA9"/>
    <w:rsid w:val="2F186D7C"/>
    <w:rsid w:val="2FA33867"/>
    <w:rsid w:val="30F70ADA"/>
    <w:rsid w:val="340927D7"/>
    <w:rsid w:val="34603279"/>
    <w:rsid w:val="34B01185"/>
    <w:rsid w:val="35D20C33"/>
    <w:rsid w:val="38252D9A"/>
    <w:rsid w:val="3DAF668B"/>
    <w:rsid w:val="3FC62AAE"/>
    <w:rsid w:val="426A506F"/>
    <w:rsid w:val="47102AF0"/>
    <w:rsid w:val="4908515F"/>
    <w:rsid w:val="4A1A2588"/>
    <w:rsid w:val="4DE61CCD"/>
    <w:rsid w:val="4EBB12D3"/>
    <w:rsid w:val="50442CE2"/>
    <w:rsid w:val="54181497"/>
    <w:rsid w:val="543B68C8"/>
    <w:rsid w:val="546A2EFB"/>
    <w:rsid w:val="546F7B31"/>
    <w:rsid w:val="58EA7C95"/>
    <w:rsid w:val="5C20719F"/>
    <w:rsid w:val="5CDE0387"/>
    <w:rsid w:val="5DB14797"/>
    <w:rsid w:val="60874025"/>
    <w:rsid w:val="61846BC3"/>
    <w:rsid w:val="632539B8"/>
    <w:rsid w:val="67230DE1"/>
    <w:rsid w:val="67747C2A"/>
    <w:rsid w:val="6C286B5E"/>
    <w:rsid w:val="6EE36E37"/>
    <w:rsid w:val="7075530E"/>
    <w:rsid w:val="733013A1"/>
    <w:rsid w:val="74B412F6"/>
    <w:rsid w:val="767B54C6"/>
    <w:rsid w:val="7851142C"/>
    <w:rsid w:val="7A2F03BC"/>
    <w:rsid w:val="7B7BCD62"/>
    <w:rsid w:val="7E836B8F"/>
    <w:rsid w:val="7F0D1726"/>
    <w:rsid w:val="FDFACD77"/>
    <w:rsid w:val="FFAFE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7"/>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8"/>
    <w:unhideWhenUsed/>
    <w:qFormat/>
    <w:uiPriority w:val="99"/>
    <w:pPr>
      <w:jc w:val="left"/>
    </w:pPr>
  </w:style>
  <w:style w:type="paragraph" w:styleId="5">
    <w:name w:val="Body Text"/>
    <w:basedOn w:val="1"/>
    <w:unhideWhenUsed/>
    <w:qFormat/>
    <w:uiPriority w:val="99"/>
    <w:rPr>
      <w:szCs w:val="21"/>
    </w:rPr>
  </w:style>
  <w:style w:type="paragraph" w:styleId="6">
    <w:name w:val="Plain Text"/>
    <w:basedOn w:val="1"/>
    <w:link w:val="54"/>
    <w:qFormat/>
    <w:uiPriority w:val="0"/>
    <w:rPr>
      <w:rFonts w:ascii="宋体" w:hAnsi="Courier New" w:cs="Courier New"/>
      <w:szCs w:val="21"/>
    </w:rPr>
  </w:style>
  <w:style w:type="paragraph" w:styleId="7">
    <w:name w:val="endnote text"/>
    <w:basedOn w:val="1"/>
    <w:link w:val="60"/>
    <w:unhideWhenUsed/>
    <w:qFormat/>
    <w:uiPriority w:val="99"/>
    <w:pPr>
      <w:snapToGrid w:val="0"/>
      <w:jc w:val="left"/>
    </w:pPr>
  </w:style>
  <w:style w:type="paragraph" w:styleId="8">
    <w:name w:val="Balloon Text"/>
    <w:basedOn w:val="1"/>
    <w:semiHidden/>
    <w:qFormat/>
    <w:uiPriority w:val="0"/>
    <w:rPr>
      <w:sz w:val="18"/>
      <w:szCs w:val="18"/>
    </w:rPr>
  </w:style>
  <w:style w:type="paragraph" w:styleId="9">
    <w:name w:val="footer"/>
    <w:basedOn w:val="1"/>
    <w:link w:val="46"/>
    <w:unhideWhenUsed/>
    <w:qFormat/>
    <w:uiPriority w:val="99"/>
    <w:pPr>
      <w:tabs>
        <w:tab w:val="center" w:pos="4153"/>
        <w:tab w:val="right" w:pos="8306"/>
      </w:tabs>
      <w:snapToGrid w:val="0"/>
      <w:jc w:val="left"/>
    </w:pPr>
    <w:rPr>
      <w:sz w:val="18"/>
      <w:szCs w:val="18"/>
    </w:rPr>
  </w:style>
  <w:style w:type="paragraph" w:styleId="10">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5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4"/>
    <w:next w:val="4"/>
    <w:link w:val="59"/>
    <w:unhideWhenUsed/>
    <w:qFormat/>
    <w:uiPriority w:val="99"/>
    <w:rPr>
      <w:b/>
      <w:bCs/>
    </w:rPr>
  </w:style>
  <w:style w:type="table" w:styleId="15">
    <w:name w:val="Table Grid"/>
    <w:basedOn w:val="1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endnote reference"/>
    <w:basedOn w:val="16"/>
    <w:unhideWhenUsed/>
    <w:qFormat/>
    <w:uiPriority w:val="99"/>
    <w:rPr>
      <w:vertAlign w:val="superscript"/>
    </w:rPr>
  </w:style>
  <w:style w:type="character" w:styleId="18">
    <w:name w:val="Emphasis"/>
    <w:basedOn w:val="16"/>
    <w:qFormat/>
    <w:uiPriority w:val="20"/>
    <w:rPr>
      <w:i/>
      <w:iCs/>
    </w:rPr>
  </w:style>
  <w:style w:type="character" w:styleId="19">
    <w:name w:val="Hyperlink"/>
    <w:basedOn w:val="16"/>
    <w:unhideWhenUsed/>
    <w:qFormat/>
    <w:uiPriority w:val="99"/>
    <w:rPr>
      <w:color w:val="0000FF"/>
      <w:u w:val="single"/>
    </w:rPr>
  </w:style>
  <w:style w:type="character" w:styleId="20">
    <w:name w:val="annotation reference"/>
    <w:basedOn w:val="16"/>
    <w:unhideWhenUsed/>
    <w:qFormat/>
    <w:uiPriority w:val="99"/>
    <w:rPr>
      <w:sz w:val="21"/>
      <w:szCs w:val="21"/>
    </w:rPr>
  </w:style>
  <w:style w:type="character" w:customStyle="1" w:styleId="21">
    <w:name w:val="段 Char"/>
    <w:link w:val="22"/>
    <w:qFormat/>
    <w:uiPriority w:val="0"/>
    <w:rPr>
      <w:rFonts w:ascii="宋体"/>
      <w:kern w:val="2"/>
      <w:sz w:val="21"/>
      <w:szCs w:val="22"/>
      <w:lang w:val="en-US" w:eastAsia="zh-CN" w:bidi="ar-SA"/>
    </w:rPr>
  </w:style>
  <w:style w:type="paragraph" w:customStyle="1" w:styleId="22">
    <w:name w:val="段"/>
    <w:link w:val="21"/>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3">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5">
    <w:name w:val="附录表标号"/>
    <w:basedOn w:val="1"/>
    <w:next w:val="22"/>
    <w:qFormat/>
    <w:uiPriority w:val="0"/>
    <w:pPr>
      <w:spacing w:line="14" w:lineRule="exact"/>
      <w:ind w:left="811" w:hanging="448"/>
      <w:jc w:val="center"/>
      <w:outlineLvl w:val="0"/>
    </w:pPr>
    <w:rPr>
      <w:rFonts w:ascii="Times New Roman" w:hAnsi="Times New Roman"/>
      <w:color w:val="FFFFFF"/>
      <w:szCs w:val="24"/>
    </w:rPr>
  </w:style>
  <w:style w:type="paragraph" w:customStyle="1" w:styleId="26">
    <w:name w:val="封面一致性程度标识"/>
    <w:basedOn w:val="27"/>
    <w:qFormat/>
    <w:uiPriority w:val="0"/>
    <w:pPr>
      <w:spacing w:before="440"/>
    </w:pPr>
    <w:rPr>
      <w:rFonts w:ascii="宋体" w:eastAsia="宋体"/>
    </w:rPr>
  </w:style>
  <w:style w:type="paragraph" w:customStyle="1" w:styleId="27">
    <w:name w:val="封面标准英文名称"/>
    <w:basedOn w:val="24"/>
    <w:qFormat/>
    <w:uiPriority w:val="0"/>
    <w:pPr>
      <w:spacing w:before="370" w:line="400" w:lineRule="exact"/>
    </w:pPr>
    <w:rPr>
      <w:rFonts w:ascii="Times New Roman"/>
      <w:sz w:val="28"/>
      <w:szCs w:val="28"/>
    </w:rPr>
  </w:style>
  <w:style w:type="paragraph" w:customStyle="1" w:styleId="28">
    <w:name w:val="章标题"/>
    <w:next w:val="22"/>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0">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31">
    <w:name w:val="标准标志"/>
    <w:next w:val="1"/>
    <w:qFormat/>
    <w:uiPriority w:val="0"/>
    <w:pPr>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2">
    <w:name w:val="封面标准文稿编辑信息"/>
    <w:basedOn w:val="33"/>
    <w:qFormat/>
    <w:uiPriority w:val="0"/>
    <w:pPr>
      <w:spacing w:before="180" w:line="180" w:lineRule="exact"/>
    </w:pPr>
    <w:rPr>
      <w:sz w:val="21"/>
    </w:rPr>
  </w:style>
  <w:style w:type="paragraph" w:customStyle="1" w:styleId="33">
    <w:name w:val="封面标准文稿类别"/>
    <w:basedOn w:val="26"/>
    <w:qFormat/>
    <w:uiPriority w:val="0"/>
    <w:pPr>
      <w:spacing w:after="160" w:line="240" w:lineRule="auto"/>
    </w:pPr>
    <w:rPr>
      <w:sz w:val="24"/>
    </w:rPr>
  </w:style>
  <w:style w:type="paragraph" w:customStyle="1" w:styleId="34">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35">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36">
    <w:name w:val="附录标识"/>
    <w:basedOn w:val="1"/>
    <w:next w:val="22"/>
    <w:qFormat/>
    <w:uiPriority w:val="0"/>
    <w:pPr>
      <w:keepNext/>
      <w:widowControl/>
      <w:shd w:val="clear" w:color="FFFFFF" w:fill="FFFFFF"/>
      <w:tabs>
        <w:tab w:val="left" w:pos="360"/>
        <w:tab w:val="left" w:pos="6405"/>
      </w:tabs>
      <w:spacing w:before="640" w:after="280"/>
      <w:ind w:left="623" w:hanging="425"/>
      <w:jc w:val="center"/>
      <w:outlineLvl w:val="0"/>
    </w:pPr>
    <w:rPr>
      <w:rFonts w:ascii="黑体" w:hAnsi="Times New Roman" w:eastAsia="黑体"/>
      <w:kern w:val="0"/>
      <w:szCs w:val="20"/>
    </w:rPr>
  </w:style>
  <w:style w:type="paragraph" w:customStyle="1" w:styleId="37">
    <w:name w:val="其他实施日期"/>
    <w:basedOn w:val="1"/>
    <w:qFormat/>
    <w:uiPriority w:val="0"/>
    <w:pPr>
      <w:widowControl/>
      <w:jc w:val="right"/>
    </w:pPr>
    <w:rPr>
      <w:rFonts w:ascii="Times New Roman" w:hAnsi="Times New Roman" w:eastAsia="黑体"/>
      <w:kern w:val="0"/>
      <w:sz w:val="28"/>
      <w:szCs w:val="20"/>
    </w:rPr>
  </w:style>
  <w:style w:type="paragraph" w:customStyle="1" w:styleId="38">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9">
    <w:name w:val="其他发布日期"/>
    <w:basedOn w:val="1"/>
    <w:qFormat/>
    <w:uiPriority w:val="0"/>
    <w:pPr>
      <w:widowControl/>
      <w:jc w:val="left"/>
    </w:pPr>
    <w:rPr>
      <w:rFonts w:ascii="Times New Roman" w:hAnsi="Times New Roman" w:eastAsia="黑体"/>
      <w:kern w:val="0"/>
      <w:sz w:val="28"/>
      <w:szCs w:val="20"/>
    </w:rPr>
  </w:style>
  <w:style w:type="paragraph" w:customStyle="1" w:styleId="40">
    <w:name w:val="终结线"/>
    <w:basedOn w:val="1"/>
    <w:qFormat/>
    <w:uiPriority w:val="99"/>
    <w:rPr>
      <w:rFonts w:ascii="Times New Roman" w:hAnsi="Times New Roman"/>
      <w:szCs w:val="24"/>
    </w:rPr>
  </w:style>
  <w:style w:type="paragraph" w:customStyle="1" w:styleId="41">
    <w:name w:val="发布部门"/>
    <w:next w:val="22"/>
    <w:qFormat/>
    <w:uiPriority w:val="0"/>
    <w:pPr>
      <w:jc w:val="center"/>
    </w:pPr>
    <w:rPr>
      <w:rFonts w:ascii="宋体" w:hAnsi="Times New Roman" w:eastAsia="宋体" w:cs="Times New Roman"/>
      <w:b/>
      <w:spacing w:val="20"/>
      <w:w w:val="135"/>
      <w:sz w:val="28"/>
      <w:lang w:val="en-US" w:eastAsia="zh-CN" w:bidi="ar-SA"/>
    </w:rPr>
  </w:style>
  <w:style w:type="paragraph" w:customStyle="1" w:styleId="42">
    <w:name w:val="附录图标号"/>
    <w:basedOn w:val="1"/>
    <w:qFormat/>
    <w:uiPriority w:val="0"/>
    <w:pPr>
      <w:keepNext/>
      <w:pageBreakBefore/>
      <w:widowControl/>
      <w:spacing w:line="14" w:lineRule="exact"/>
      <w:ind w:firstLine="363"/>
      <w:jc w:val="center"/>
      <w:outlineLvl w:val="0"/>
    </w:pPr>
    <w:rPr>
      <w:rFonts w:ascii="Times New Roman" w:hAnsi="Times New Roman"/>
      <w:color w:val="FFFFFF"/>
      <w:szCs w:val="24"/>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character" w:customStyle="1" w:styleId="45">
    <w:name w:val="页眉 Char"/>
    <w:basedOn w:val="16"/>
    <w:link w:val="10"/>
    <w:qFormat/>
    <w:uiPriority w:val="99"/>
    <w:rPr>
      <w:kern w:val="2"/>
      <w:sz w:val="18"/>
      <w:szCs w:val="18"/>
    </w:rPr>
  </w:style>
  <w:style w:type="character" w:customStyle="1" w:styleId="46">
    <w:name w:val="页脚 Char"/>
    <w:basedOn w:val="16"/>
    <w:link w:val="9"/>
    <w:qFormat/>
    <w:uiPriority w:val="99"/>
    <w:rPr>
      <w:kern w:val="2"/>
      <w:sz w:val="18"/>
      <w:szCs w:val="18"/>
    </w:rPr>
  </w:style>
  <w:style w:type="character" w:customStyle="1" w:styleId="47">
    <w:name w:val="标题 1 Char"/>
    <w:basedOn w:val="16"/>
    <w:link w:val="2"/>
    <w:qFormat/>
    <w:uiPriority w:val="0"/>
    <w:rPr>
      <w:rFonts w:ascii="Times New Roman" w:hAnsi="Times New Roman"/>
      <w:b/>
      <w:bCs/>
      <w:kern w:val="44"/>
      <w:sz w:val="44"/>
      <w:szCs w:val="44"/>
    </w:rPr>
  </w:style>
  <w:style w:type="paragraph" w:customStyle="1" w:styleId="48">
    <w:name w:val="一级条标题"/>
    <w:next w:val="1"/>
    <w:qFormat/>
    <w:uiPriority w:val="99"/>
    <w:pPr>
      <w:ind w:left="525"/>
      <w:outlineLvl w:val="2"/>
    </w:pPr>
    <w:rPr>
      <w:rFonts w:ascii="Times New Roman" w:hAnsi="Times New Roman" w:eastAsia="黑体" w:cs="Times New Roman"/>
      <w:kern w:val="2"/>
      <w:sz w:val="21"/>
      <w:szCs w:val="24"/>
      <w:lang w:val="en-US" w:eastAsia="zh-CN" w:bidi="ar-SA"/>
    </w:rPr>
  </w:style>
  <w:style w:type="paragraph" w:customStyle="1" w:styleId="49">
    <w:name w:val="二级条标题"/>
    <w:basedOn w:val="48"/>
    <w:next w:val="1"/>
    <w:qFormat/>
    <w:uiPriority w:val="0"/>
    <w:pPr>
      <w:ind w:left="0"/>
      <w:outlineLvl w:val="3"/>
    </w:pPr>
    <w:rPr>
      <w:kern w:val="0"/>
      <w:szCs w:val="20"/>
    </w:rPr>
  </w:style>
  <w:style w:type="paragraph" w:customStyle="1" w:styleId="50">
    <w:name w:val="Char Char Char Char Char Char1 Char Char Char"/>
    <w:basedOn w:val="1"/>
    <w:qFormat/>
    <w:uiPriority w:val="0"/>
    <w:pPr>
      <w:autoSpaceDE w:val="0"/>
      <w:autoSpaceDN w:val="0"/>
      <w:adjustRightInd w:val="0"/>
      <w:jc w:val="left"/>
      <w:textAlignment w:val="baseline"/>
    </w:pPr>
    <w:rPr>
      <w:rFonts w:ascii="Times New Roman" w:hAnsi="Times New Roman" w:eastAsia="方正仿宋简体"/>
      <w:sz w:val="32"/>
      <w:szCs w:val="20"/>
    </w:rPr>
  </w:style>
  <w:style w:type="paragraph" w:customStyle="1" w:styleId="51">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2">
    <w:name w:val="列出段落1"/>
    <w:basedOn w:val="1"/>
    <w:qFormat/>
    <w:uiPriority w:val="34"/>
    <w:pPr>
      <w:ind w:firstLine="420" w:firstLineChars="200"/>
    </w:pPr>
  </w:style>
  <w:style w:type="character" w:customStyle="1" w:styleId="53">
    <w:name w:val="apple-converted-space"/>
    <w:basedOn w:val="16"/>
    <w:qFormat/>
    <w:uiPriority w:val="0"/>
  </w:style>
  <w:style w:type="character" w:customStyle="1" w:styleId="54">
    <w:name w:val="纯文本 Char"/>
    <w:basedOn w:val="16"/>
    <w:link w:val="6"/>
    <w:qFormat/>
    <w:uiPriority w:val="0"/>
    <w:rPr>
      <w:rFonts w:ascii="宋体" w:hAnsi="Courier New" w:cs="Courier New"/>
      <w:kern w:val="2"/>
      <w:sz w:val="21"/>
      <w:szCs w:val="21"/>
    </w:rPr>
  </w:style>
  <w:style w:type="paragraph" w:customStyle="1" w:styleId="55">
    <w:name w:val="修订1"/>
    <w:hidden/>
    <w:semiHidden/>
    <w:qFormat/>
    <w:uiPriority w:val="99"/>
    <w:rPr>
      <w:rFonts w:ascii="Calibri" w:hAnsi="Calibri" w:eastAsia="宋体" w:cs="Times New Roman"/>
      <w:kern w:val="2"/>
      <w:sz w:val="21"/>
      <w:szCs w:val="22"/>
      <w:lang w:val="en-US" w:eastAsia="zh-CN" w:bidi="ar-SA"/>
    </w:rPr>
  </w:style>
  <w:style w:type="paragraph" w:customStyle="1" w:styleId="5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7">
    <w:name w:val="HTML 预设格式 Char"/>
    <w:basedOn w:val="16"/>
    <w:link w:val="11"/>
    <w:semiHidden/>
    <w:qFormat/>
    <w:uiPriority w:val="99"/>
    <w:rPr>
      <w:rFonts w:ascii="宋体" w:hAnsi="宋体" w:cs="宋体"/>
      <w:sz w:val="24"/>
      <w:szCs w:val="24"/>
    </w:rPr>
  </w:style>
  <w:style w:type="character" w:customStyle="1" w:styleId="58">
    <w:name w:val="批注文字 Char"/>
    <w:basedOn w:val="16"/>
    <w:link w:val="4"/>
    <w:semiHidden/>
    <w:qFormat/>
    <w:uiPriority w:val="99"/>
    <w:rPr>
      <w:kern w:val="2"/>
      <w:sz w:val="21"/>
      <w:szCs w:val="22"/>
    </w:rPr>
  </w:style>
  <w:style w:type="character" w:customStyle="1" w:styleId="59">
    <w:name w:val="批注主题 Char"/>
    <w:basedOn w:val="58"/>
    <w:link w:val="13"/>
    <w:semiHidden/>
    <w:qFormat/>
    <w:uiPriority w:val="99"/>
    <w:rPr>
      <w:b/>
      <w:bCs/>
      <w:kern w:val="2"/>
      <w:sz w:val="21"/>
      <w:szCs w:val="22"/>
    </w:rPr>
  </w:style>
  <w:style w:type="character" w:customStyle="1" w:styleId="60">
    <w:name w:val="尾注文本 Char"/>
    <w:basedOn w:val="16"/>
    <w:link w:val="7"/>
    <w:semiHidden/>
    <w:qFormat/>
    <w:uiPriority w:val="99"/>
    <w:rPr>
      <w:kern w:val="2"/>
      <w:sz w:val="21"/>
      <w:szCs w:val="22"/>
    </w:rPr>
  </w:style>
  <w:style w:type="paragraph" w:customStyle="1" w:styleId="61">
    <w:name w:val="Table Paragraph"/>
    <w:basedOn w:val="1"/>
    <w:qFormat/>
    <w:uiPriority w:val="1"/>
    <w:pPr>
      <w:spacing w:before="55"/>
      <w:jc w:val="center"/>
    </w:pPr>
  </w:style>
  <w:style w:type="paragraph" w:customStyle="1" w:styleId="62">
    <w:name w:val="Body text|2"/>
    <w:basedOn w:val="1"/>
    <w:qFormat/>
    <w:uiPriority w:val="0"/>
    <w:pPr>
      <w:spacing w:line="307" w:lineRule="auto"/>
    </w:pPr>
    <w:rPr>
      <w:sz w:val="30"/>
      <w:szCs w:val="30"/>
    </w:rPr>
  </w:style>
  <w:style w:type="paragraph" w:customStyle="1" w:styleId="63">
    <w:name w:val="Body text|1"/>
    <w:basedOn w:val="1"/>
    <w:qFormat/>
    <w:uiPriority w:val="0"/>
    <w:pPr>
      <w:spacing w:after="40" w:line="334" w:lineRule="auto"/>
      <w:ind w:firstLine="220"/>
    </w:pPr>
    <w:rPr>
      <w:rFonts w:ascii="宋体" w:hAnsi="宋体" w:cs="宋体"/>
      <w:sz w:val="28"/>
      <w:szCs w:val="28"/>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7</Pages>
  <Words>800</Words>
  <Characters>4565</Characters>
  <Lines>38</Lines>
  <Paragraphs>10</Paragraphs>
  <TotalTime>30</TotalTime>
  <ScaleCrop>false</ScaleCrop>
  <LinksUpToDate>false</LinksUpToDate>
  <CharactersWithSpaces>5355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2018-01-04T21:06:00Z</dcterms:created>
  <dc:creator>Administrator</dc:creator>
  <cp:lastModifiedBy>辣椒不甜</cp:lastModifiedBy>
  <cp:lastPrinted>2021-11-24T06:18:00Z</cp:lastPrinted>
  <dcterms:modified xsi:type="dcterms:W3CDTF">2022-01-20T09:00:04Z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F9B612F7AEA34B628194EE92590217FF</vt:lpwstr>
  </property>
</Properties>
</file>